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589F" w14:textId="77777777" w:rsidR="005F2E49" w:rsidRDefault="005F2E49" w:rsidP="00523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10096BFC" w14:textId="77777777" w:rsidR="00827596" w:rsidRDefault="006E3647" w:rsidP="00523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6E3647">
        <w:rPr>
          <w:rFonts w:cstheme="minorHAnsi"/>
          <w:bCs/>
          <w:sz w:val="28"/>
          <w:szCs w:val="28"/>
        </w:rPr>
        <w:t xml:space="preserve">Program priorytetowy </w:t>
      </w:r>
      <w:r w:rsidRPr="006E3647">
        <w:rPr>
          <w:rFonts w:cstheme="minorHAnsi"/>
          <w:bCs/>
          <w:i/>
          <w:sz w:val="28"/>
          <w:szCs w:val="28"/>
        </w:rPr>
        <w:t>Czyste Powietrze</w:t>
      </w:r>
      <w:r w:rsidRPr="006E3647">
        <w:rPr>
          <w:rFonts w:cstheme="minorHAnsi"/>
          <w:bCs/>
          <w:sz w:val="28"/>
          <w:szCs w:val="28"/>
        </w:rPr>
        <w:t xml:space="preserve"> po zmianach </w:t>
      </w:r>
    </w:p>
    <w:p w14:paraId="54805A12" w14:textId="77777777" w:rsidR="00887C7B" w:rsidRPr="006E3647" w:rsidRDefault="00887C7B" w:rsidP="00523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5B0C3A5E" w14:textId="77777777" w:rsidR="00970ECD" w:rsidRPr="006E3647" w:rsidRDefault="00970ECD" w:rsidP="00523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F2817CA" w14:textId="77777777" w:rsidR="00970ECD" w:rsidRPr="006E3647" w:rsidRDefault="006E3647" w:rsidP="00523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Informacje o p</w:t>
      </w:r>
      <w:r w:rsidR="00970ECD" w:rsidRPr="006E3647">
        <w:rPr>
          <w:rFonts w:cstheme="minorHAnsi"/>
          <w:b/>
          <w:bCs/>
        </w:rPr>
        <w:t xml:space="preserve">rogramie </w:t>
      </w:r>
    </w:p>
    <w:p w14:paraId="402592F3" w14:textId="77777777" w:rsidR="006E3647" w:rsidRDefault="006E3647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7C8343C6" w14:textId="77777777" w:rsidR="006E3647" w:rsidRDefault="00346B45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6E3647">
        <w:rPr>
          <w:rFonts w:cstheme="minorHAnsi"/>
          <w:bCs/>
        </w:rPr>
        <w:t>W</w:t>
      </w:r>
      <w:r w:rsidR="005F2E49">
        <w:rPr>
          <w:rFonts w:cstheme="minorHAnsi"/>
          <w:bCs/>
        </w:rPr>
        <w:t>e</w:t>
      </w:r>
      <w:r w:rsidRPr="006E3647">
        <w:rPr>
          <w:rFonts w:cstheme="minorHAnsi"/>
          <w:bCs/>
        </w:rPr>
        <w:t xml:space="preserve"> wrześniu </w:t>
      </w:r>
      <w:r w:rsidR="00882759" w:rsidRPr="006E3647">
        <w:rPr>
          <w:rFonts w:cstheme="minorHAnsi"/>
          <w:bCs/>
        </w:rPr>
        <w:t xml:space="preserve">2018 r. ruszył rządowy </w:t>
      </w:r>
      <w:r w:rsidR="006E3647">
        <w:rPr>
          <w:rFonts w:cstheme="minorHAnsi"/>
          <w:bCs/>
        </w:rPr>
        <w:t>p</w:t>
      </w:r>
      <w:r w:rsidR="00882759" w:rsidRPr="006E3647">
        <w:rPr>
          <w:rFonts w:cstheme="minorHAnsi"/>
          <w:bCs/>
        </w:rPr>
        <w:t xml:space="preserve">rogram </w:t>
      </w:r>
      <w:r w:rsidR="006E3647">
        <w:rPr>
          <w:rFonts w:cstheme="minorHAnsi"/>
          <w:bCs/>
        </w:rPr>
        <w:t>p</w:t>
      </w:r>
      <w:r w:rsidR="00882759" w:rsidRPr="006E3647">
        <w:rPr>
          <w:rFonts w:cstheme="minorHAnsi"/>
          <w:bCs/>
        </w:rPr>
        <w:t xml:space="preserve">riorytetowy </w:t>
      </w:r>
      <w:r w:rsidR="00882759" w:rsidRPr="006E3647">
        <w:rPr>
          <w:rFonts w:cstheme="minorHAnsi"/>
          <w:bCs/>
          <w:i/>
        </w:rPr>
        <w:t>Czyste Powietrze</w:t>
      </w:r>
      <w:r w:rsidR="00882759" w:rsidRPr="006E3647">
        <w:rPr>
          <w:rFonts w:cstheme="minorHAnsi"/>
          <w:bCs/>
        </w:rPr>
        <w:t xml:space="preserve">, który potrwa do 2029 r. Jego najważniejszym celem jest ograniczenie emisji do atmosfery szkodliwych substancji, które powstają na skutek ogrzewania domów jednorodzinnych słabej jakości paliwem w przestarzałych domowych piecach. </w:t>
      </w:r>
    </w:p>
    <w:p w14:paraId="52CBF86B" w14:textId="77777777" w:rsidR="006E3647" w:rsidRDefault="006E3647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7605F384" w14:textId="77777777" w:rsidR="00882759" w:rsidRDefault="00882759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iCs/>
        </w:rPr>
      </w:pPr>
      <w:r w:rsidRPr="006E3647">
        <w:rPr>
          <w:rFonts w:cstheme="minorHAnsi"/>
          <w:bCs/>
        </w:rPr>
        <w:t xml:space="preserve">Program oferuje dofinansowanie wymiany </w:t>
      </w:r>
      <w:r w:rsidR="00503945" w:rsidRPr="006E3647">
        <w:rPr>
          <w:rFonts w:cstheme="minorHAnsi"/>
          <w:bCs/>
        </w:rPr>
        <w:t xml:space="preserve">starych i </w:t>
      </w:r>
      <w:r w:rsidR="00572990" w:rsidRPr="006E3647">
        <w:rPr>
          <w:rFonts w:cstheme="minorHAnsi"/>
          <w:bCs/>
        </w:rPr>
        <w:t xml:space="preserve">nieefektywnych </w:t>
      </w:r>
      <w:r w:rsidRPr="006E3647">
        <w:rPr>
          <w:rFonts w:cstheme="minorHAnsi"/>
          <w:bCs/>
        </w:rPr>
        <w:t>źródeł ciepła</w:t>
      </w:r>
      <w:r w:rsidR="00572990" w:rsidRPr="006E3647">
        <w:rPr>
          <w:rFonts w:cstheme="minorHAnsi"/>
          <w:bCs/>
        </w:rPr>
        <w:t xml:space="preserve"> na paliwo stałe</w:t>
      </w:r>
      <w:r w:rsidRPr="006E3647">
        <w:rPr>
          <w:rFonts w:cstheme="minorHAnsi"/>
          <w:bCs/>
        </w:rPr>
        <w:t xml:space="preserve"> na </w:t>
      </w:r>
      <w:r w:rsidR="00503945" w:rsidRPr="006E3647">
        <w:rPr>
          <w:rFonts w:cstheme="minorHAnsi"/>
          <w:bCs/>
        </w:rPr>
        <w:t>nowoczesne źródła ciepła spełniające najwyższe normy</w:t>
      </w:r>
      <w:r w:rsidR="00FA1309" w:rsidRPr="006E3647">
        <w:rPr>
          <w:rFonts w:cstheme="minorHAnsi"/>
          <w:bCs/>
        </w:rPr>
        <w:t>, są to:</w:t>
      </w:r>
      <w:r w:rsidR="00503945" w:rsidRPr="006E3647">
        <w:rPr>
          <w:rFonts w:cstheme="minorHAnsi"/>
          <w:bCs/>
        </w:rPr>
        <w:t xml:space="preserve"> węzeł cieplny, pompa ciepła, kocioł gazowy kondensacyjny, kocioł olejowy</w:t>
      </w:r>
      <w:r w:rsidR="007906AD" w:rsidRPr="006E3647">
        <w:rPr>
          <w:rFonts w:cstheme="minorHAnsi"/>
          <w:bCs/>
        </w:rPr>
        <w:t xml:space="preserve"> kondensacyjny</w:t>
      </w:r>
      <w:r w:rsidR="00503945" w:rsidRPr="006E3647">
        <w:rPr>
          <w:rFonts w:cstheme="minorHAnsi"/>
          <w:bCs/>
        </w:rPr>
        <w:t xml:space="preserve">, </w:t>
      </w:r>
      <w:r w:rsidR="00FA1309" w:rsidRPr="006E3647">
        <w:rPr>
          <w:rFonts w:cstheme="minorHAnsi"/>
          <w:bCs/>
        </w:rPr>
        <w:t xml:space="preserve">ogrzewanie elektryczne, </w:t>
      </w:r>
      <w:r w:rsidR="00503945" w:rsidRPr="006E3647">
        <w:rPr>
          <w:rFonts w:cstheme="minorHAnsi"/>
          <w:bCs/>
        </w:rPr>
        <w:t>kocioł na paliwo stałe</w:t>
      </w:r>
      <w:r w:rsidR="00FA1309" w:rsidRPr="006E3647">
        <w:rPr>
          <w:rFonts w:cstheme="minorHAnsi"/>
          <w:bCs/>
        </w:rPr>
        <w:t xml:space="preserve"> (węgiel, biomasa),</w:t>
      </w:r>
      <w:r w:rsidRPr="006E3647">
        <w:rPr>
          <w:rFonts w:cstheme="minorHAnsi"/>
          <w:bCs/>
        </w:rPr>
        <w:t xml:space="preserve"> jak i przeprowadzenie niezbędnych prac termomodernizacyjnych budynku. </w:t>
      </w:r>
      <w:r w:rsidRPr="006E3647">
        <w:rPr>
          <w:rFonts w:cstheme="minorHAnsi"/>
        </w:rPr>
        <w:t>Jednym z głównych powodów problemu smogu w naszym kraju jest tak zwana niska emisja, czyli uwalnianie do atmosfery szkodliwych substancji</w:t>
      </w:r>
      <w:r w:rsidR="00346B45" w:rsidRPr="006E3647">
        <w:rPr>
          <w:rFonts w:cstheme="minorHAnsi"/>
        </w:rPr>
        <w:t xml:space="preserve">. </w:t>
      </w:r>
      <w:r w:rsidRPr="006E3647">
        <w:rPr>
          <w:rFonts w:cstheme="minorHAnsi"/>
        </w:rPr>
        <w:t xml:space="preserve">Jak się jednak okazuje, sama wymiana systemu ogrzewania nie jest wystarczająca. Bez odpowiedniej izolacji domu całe ciepło może szybko przeniknąć na zewnątrz. </w:t>
      </w:r>
      <w:r w:rsidRPr="006E3647">
        <w:rPr>
          <w:rFonts w:cstheme="minorHAnsi"/>
          <w:iCs/>
        </w:rPr>
        <w:t>Wiele</w:t>
      </w:r>
      <w:r w:rsidRPr="006E3647">
        <w:rPr>
          <w:rFonts w:cstheme="minorHAnsi"/>
        </w:rPr>
        <w:t xml:space="preserve"> </w:t>
      </w:r>
      <w:r w:rsidRPr="006E3647">
        <w:rPr>
          <w:rFonts w:cstheme="minorHAnsi"/>
          <w:iCs/>
        </w:rPr>
        <w:t>domów w Polsce było budowanych</w:t>
      </w:r>
      <w:r w:rsidRPr="006E3647">
        <w:rPr>
          <w:rFonts w:cstheme="minorHAnsi"/>
        </w:rPr>
        <w:t xml:space="preserve"> </w:t>
      </w:r>
      <w:r w:rsidRPr="006E3647">
        <w:rPr>
          <w:rFonts w:cstheme="minorHAnsi"/>
          <w:iCs/>
        </w:rPr>
        <w:t xml:space="preserve">w czasach, kiedy jeszcze nie stosowano rozwiązania uwzględniającego izolację cieplną, co prowadzi do marnowania energii i </w:t>
      </w:r>
      <w:r w:rsidR="00572990" w:rsidRPr="006E3647">
        <w:rPr>
          <w:rFonts w:cstheme="minorHAnsi"/>
          <w:iCs/>
        </w:rPr>
        <w:t xml:space="preserve">dużych </w:t>
      </w:r>
      <w:r w:rsidRPr="006E3647">
        <w:rPr>
          <w:rFonts w:cstheme="minorHAnsi"/>
          <w:iCs/>
        </w:rPr>
        <w:t xml:space="preserve">strat </w:t>
      </w:r>
      <w:r w:rsidR="00572990" w:rsidRPr="006E3647">
        <w:rPr>
          <w:rFonts w:cstheme="minorHAnsi"/>
          <w:iCs/>
        </w:rPr>
        <w:t>ciepła</w:t>
      </w:r>
      <w:r w:rsidRPr="006E3647">
        <w:rPr>
          <w:rFonts w:cstheme="minorHAnsi"/>
          <w:iCs/>
        </w:rPr>
        <w:t xml:space="preserve">, a także </w:t>
      </w:r>
      <w:r w:rsidR="00572990" w:rsidRPr="006E3647">
        <w:rPr>
          <w:rFonts w:cstheme="minorHAnsi"/>
          <w:iCs/>
        </w:rPr>
        <w:t>do wyższych</w:t>
      </w:r>
      <w:r w:rsidR="00572990" w:rsidRPr="006E3647">
        <w:rPr>
          <w:rFonts w:cstheme="minorHAnsi"/>
        </w:rPr>
        <w:t xml:space="preserve"> </w:t>
      </w:r>
      <w:r w:rsidR="00572990" w:rsidRPr="006E3647">
        <w:rPr>
          <w:rFonts w:cstheme="minorHAnsi"/>
          <w:iCs/>
        </w:rPr>
        <w:t xml:space="preserve">rachunków </w:t>
      </w:r>
      <w:r w:rsidRPr="006E3647">
        <w:rPr>
          <w:rFonts w:cstheme="minorHAnsi"/>
          <w:iCs/>
        </w:rPr>
        <w:t>za ogrzewanie. Dlatego tak ważna jest termomodernizacja</w:t>
      </w:r>
      <w:r w:rsidRPr="006E3647">
        <w:rPr>
          <w:rFonts w:cstheme="minorHAnsi"/>
        </w:rPr>
        <w:t xml:space="preserve"> </w:t>
      </w:r>
      <w:r w:rsidRPr="006E3647">
        <w:rPr>
          <w:rFonts w:cstheme="minorHAnsi"/>
          <w:iCs/>
        </w:rPr>
        <w:t>domów, która dodatkowo wpłynie na oszczędności w domowym budżecie.</w:t>
      </w:r>
      <w:r w:rsidRPr="006E3647">
        <w:rPr>
          <w:rFonts w:cstheme="minorHAnsi"/>
          <w:i/>
          <w:iCs/>
        </w:rPr>
        <w:t xml:space="preserve"> </w:t>
      </w:r>
    </w:p>
    <w:p w14:paraId="5D5BF634" w14:textId="77777777" w:rsidR="006E3647" w:rsidRPr="006E3647" w:rsidRDefault="006E3647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2C010E6C" w14:textId="77777777" w:rsidR="00882759" w:rsidRDefault="00882759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E3647">
        <w:rPr>
          <w:rFonts w:cstheme="minorHAnsi"/>
        </w:rPr>
        <w:t xml:space="preserve">Inwestycje dofinansowane z </w:t>
      </w:r>
      <w:r w:rsidR="006E3647">
        <w:rPr>
          <w:rFonts w:cstheme="minorHAnsi"/>
        </w:rPr>
        <w:t>p</w:t>
      </w:r>
      <w:r w:rsidRPr="006E3647">
        <w:rPr>
          <w:rFonts w:cstheme="minorHAnsi"/>
        </w:rPr>
        <w:t xml:space="preserve">rogramu </w:t>
      </w:r>
      <w:r w:rsidRPr="006E3647">
        <w:rPr>
          <w:rFonts w:cstheme="minorHAnsi"/>
          <w:i/>
        </w:rPr>
        <w:t>Czyste Powietrze</w:t>
      </w:r>
      <w:r w:rsidRPr="006E3647">
        <w:rPr>
          <w:rFonts w:cstheme="minorHAnsi"/>
        </w:rPr>
        <w:t xml:space="preserve"> zapewniają lepsze zarządzanie energią cieplną w domu o każdej porze roku. Ocieplenie nieruchomości połączone z wymianą okien pozwala zmniejszyć roczne wydatki na</w:t>
      </w:r>
      <w:r w:rsidR="00117E97" w:rsidRPr="006E3647">
        <w:rPr>
          <w:rFonts w:cstheme="minorHAnsi"/>
        </w:rPr>
        <w:t xml:space="preserve"> </w:t>
      </w:r>
      <w:r w:rsidRPr="006E3647">
        <w:rPr>
          <w:rFonts w:cstheme="minorHAnsi"/>
        </w:rPr>
        <w:t>ogrzewanie nawet o 40</w:t>
      </w:r>
      <w:r w:rsidR="006E3647">
        <w:rPr>
          <w:rFonts w:cstheme="minorHAnsi"/>
        </w:rPr>
        <w:t xml:space="preserve"> proc.</w:t>
      </w:r>
    </w:p>
    <w:p w14:paraId="3F92FD6E" w14:textId="77777777" w:rsidR="006E3647" w:rsidRPr="006E3647" w:rsidRDefault="006E3647" w:rsidP="00882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51147A5" w14:textId="77777777" w:rsidR="00882759" w:rsidRDefault="00346B45" w:rsidP="008B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E3647">
        <w:rPr>
          <w:rFonts w:cstheme="minorHAnsi"/>
        </w:rPr>
        <w:t>Po zmianie</w:t>
      </w:r>
      <w:r w:rsidR="006E3647">
        <w:rPr>
          <w:rFonts w:cstheme="minorHAnsi"/>
        </w:rPr>
        <w:t xml:space="preserve"> – </w:t>
      </w:r>
      <w:r w:rsidRPr="006E3647">
        <w:rPr>
          <w:rFonts w:cstheme="minorHAnsi"/>
        </w:rPr>
        <w:t xml:space="preserve">obecnie adresatami </w:t>
      </w:r>
      <w:r w:rsidR="006E3647">
        <w:rPr>
          <w:rFonts w:cstheme="minorHAnsi"/>
        </w:rPr>
        <w:t>p</w:t>
      </w:r>
      <w:r w:rsidR="00882759" w:rsidRPr="006E3647">
        <w:rPr>
          <w:rFonts w:cstheme="minorHAnsi"/>
        </w:rPr>
        <w:t>rogramu są</w:t>
      </w:r>
      <w:r w:rsidR="00882759" w:rsidRPr="006E3647">
        <w:rPr>
          <w:rFonts w:eastAsia="Times New Roman" w:cstheme="minorHAnsi"/>
          <w:lang w:eastAsia="pl-PL"/>
        </w:rPr>
        <w:t xml:space="preserve"> </w:t>
      </w:r>
      <w:r w:rsidR="008B0422" w:rsidRPr="006E3647">
        <w:rPr>
          <w:rFonts w:eastAsia="Times New Roman" w:cstheme="minorHAnsi"/>
          <w:lang w:eastAsia="pl-PL"/>
        </w:rPr>
        <w:t>właściciele lub współwłaściciele</w:t>
      </w:r>
      <w:r w:rsidR="00882759" w:rsidRPr="006E3647">
        <w:rPr>
          <w:rFonts w:eastAsia="Times New Roman" w:cstheme="minorHAnsi"/>
          <w:lang w:eastAsia="pl-PL"/>
        </w:rPr>
        <w:t xml:space="preserve"> jednorodzinnego budynku mieszkalnego, lub wydzi</w:t>
      </w:r>
      <w:r w:rsidR="008B0422" w:rsidRPr="006E3647">
        <w:rPr>
          <w:rFonts w:eastAsia="Times New Roman" w:cstheme="minorHAnsi"/>
          <w:lang w:eastAsia="pl-PL"/>
        </w:rPr>
        <w:t>elonego w budynku jednorodzinnym</w:t>
      </w:r>
      <w:r w:rsidR="00882759" w:rsidRPr="006E3647">
        <w:rPr>
          <w:rFonts w:eastAsia="Times New Roman" w:cstheme="minorHAnsi"/>
          <w:lang w:eastAsia="pl-PL"/>
        </w:rPr>
        <w:t xml:space="preserve"> lokalu </w:t>
      </w:r>
      <w:r w:rsidR="00117E97" w:rsidRPr="006E3647">
        <w:rPr>
          <w:rFonts w:eastAsia="Times New Roman" w:cstheme="minorHAnsi"/>
          <w:lang w:eastAsia="pl-PL"/>
        </w:rPr>
        <w:t xml:space="preserve">mieszkalnego </w:t>
      </w:r>
      <w:r w:rsidR="00E31969">
        <w:rPr>
          <w:rFonts w:eastAsia="Times New Roman" w:cstheme="minorHAnsi"/>
          <w:lang w:eastAsia="pl-PL"/>
        </w:rPr>
        <w:br/>
      </w:r>
      <w:r w:rsidR="008B0422" w:rsidRPr="006E3647">
        <w:rPr>
          <w:rFonts w:eastAsia="Times New Roman" w:cstheme="minorHAnsi"/>
          <w:lang w:eastAsia="pl-PL"/>
        </w:rPr>
        <w:t>z wyodrębnioną księgą wieczystą</w:t>
      </w:r>
      <w:r w:rsidRPr="006E3647">
        <w:rPr>
          <w:rFonts w:eastAsia="Times New Roman" w:cstheme="minorHAnsi"/>
          <w:lang w:eastAsia="pl-PL"/>
        </w:rPr>
        <w:t xml:space="preserve"> </w:t>
      </w:r>
      <w:r w:rsidR="008B0422" w:rsidRPr="006E3647">
        <w:rPr>
          <w:rFonts w:eastAsia="Times New Roman" w:cstheme="minorHAnsi"/>
          <w:lang w:eastAsia="pl-PL"/>
        </w:rPr>
        <w:t xml:space="preserve">oraz osoby, </w:t>
      </w:r>
      <w:r w:rsidR="00882759" w:rsidRPr="006E3647">
        <w:rPr>
          <w:rFonts w:eastAsia="Times New Roman" w:cstheme="minorHAnsi"/>
          <w:lang w:eastAsia="pl-PL"/>
        </w:rPr>
        <w:t>które uzyskały zgodę na</w:t>
      </w:r>
      <w:r w:rsidR="006E3647">
        <w:rPr>
          <w:rFonts w:eastAsia="Times New Roman" w:cstheme="minorHAnsi"/>
          <w:lang w:eastAsia="pl-PL"/>
        </w:rPr>
        <w:t xml:space="preserve"> </w:t>
      </w:r>
      <w:r w:rsidR="00882759" w:rsidRPr="006E3647">
        <w:rPr>
          <w:rFonts w:eastAsia="Times New Roman" w:cstheme="minorHAnsi"/>
          <w:lang w:eastAsia="pl-PL"/>
        </w:rPr>
        <w:t>rozpoczęcie budowy jedno</w:t>
      </w:r>
      <w:r w:rsidR="008B0422" w:rsidRPr="006E3647">
        <w:rPr>
          <w:rFonts w:eastAsia="Times New Roman" w:cstheme="minorHAnsi"/>
          <w:lang w:eastAsia="pl-PL"/>
        </w:rPr>
        <w:t xml:space="preserve">rodzinnego budynku mieszkalnego </w:t>
      </w:r>
      <w:r w:rsidR="00882759" w:rsidRPr="006E3647">
        <w:rPr>
          <w:rFonts w:eastAsia="Times New Roman" w:cstheme="minorHAnsi"/>
          <w:lang w:eastAsia="pl-PL"/>
        </w:rPr>
        <w:t>i budynek nie został jeszcze przekazany lub</w:t>
      </w:r>
      <w:r w:rsidR="006E3647">
        <w:rPr>
          <w:rFonts w:eastAsia="Times New Roman" w:cstheme="minorHAnsi"/>
          <w:lang w:eastAsia="pl-PL"/>
        </w:rPr>
        <w:t xml:space="preserve"> zgłoszony do użytkowania.</w:t>
      </w:r>
    </w:p>
    <w:p w14:paraId="02F640E3" w14:textId="77777777" w:rsidR="006E3647" w:rsidRPr="006E3647" w:rsidRDefault="006E3647" w:rsidP="008B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C2403EE" w14:textId="77777777" w:rsidR="00882759" w:rsidRPr="006E3647" w:rsidRDefault="00882759" w:rsidP="0088275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E3647">
        <w:rPr>
          <w:rFonts w:cstheme="minorHAnsi"/>
        </w:rPr>
        <w:t xml:space="preserve">Mogą oni wnioskować o dotacje lub pożyczki przeznaczone na wymianę </w:t>
      </w:r>
      <w:r w:rsidR="007906AD" w:rsidRPr="006E3647">
        <w:rPr>
          <w:rFonts w:cstheme="minorHAnsi"/>
        </w:rPr>
        <w:t xml:space="preserve">źródła ciepła oraz </w:t>
      </w:r>
      <w:r w:rsidRPr="006E3647">
        <w:rPr>
          <w:rFonts w:cstheme="minorHAnsi"/>
        </w:rPr>
        <w:t>prace związane z termomodernizacją. W zależności od miesięcznego</w:t>
      </w:r>
      <w:r w:rsidRPr="006E3647">
        <w:rPr>
          <w:rFonts w:cstheme="minorHAnsi"/>
          <w:bCs/>
        </w:rPr>
        <w:t xml:space="preserve"> </w:t>
      </w:r>
      <w:r w:rsidRPr="006E3647">
        <w:rPr>
          <w:rFonts w:cstheme="minorHAnsi"/>
        </w:rPr>
        <w:t>dochodu na osobę</w:t>
      </w:r>
      <w:r w:rsidRPr="006E3647">
        <w:rPr>
          <w:rFonts w:cstheme="minorHAnsi"/>
          <w:bCs/>
        </w:rPr>
        <w:t xml:space="preserve"> </w:t>
      </w:r>
      <w:r w:rsidRPr="006E3647">
        <w:rPr>
          <w:rFonts w:cstheme="minorHAnsi"/>
        </w:rPr>
        <w:t>w gospodarstwie domowym</w:t>
      </w:r>
      <w:r w:rsidRPr="006E3647">
        <w:rPr>
          <w:rFonts w:cstheme="minorHAnsi"/>
          <w:bCs/>
        </w:rPr>
        <w:t xml:space="preserve"> </w:t>
      </w:r>
      <w:r w:rsidRPr="006E3647">
        <w:rPr>
          <w:rFonts w:cstheme="minorHAnsi"/>
        </w:rPr>
        <w:t>beneficjenci programu otrzymają dofinansowanie na pokrycie nawet do 90 proc</w:t>
      </w:r>
      <w:r w:rsidR="006E3647">
        <w:rPr>
          <w:rFonts w:cstheme="minorHAnsi"/>
        </w:rPr>
        <w:t xml:space="preserve">. </w:t>
      </w:r>
      <w:r w:rsidRPr="006E3647">
        <w:rPr>
          <w:rFonts w:cstheme="minorHAnsi"/>
        </w:rPr>
        <w:t>kosztów kwalifikowanych inwestycji.</w:t>
      </w:r>
    </w:p>
    <w:p w14:paraId="4CB79588" w14:textId="77777777" w:rsidR="000273C3" w:rsidRPr="006E3647" w:rsidRDefault="000273C3" w:rsidP="00882759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39F06B9B" w14:textId="77777777" w:rsidR="000273C3" w:rsidRPr="006E3647" w:rsidRDefault="006E3647" w:rsidP="000273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Program priorytetowy </w:t>
      </w:r>
      <w:r w:rsidRPr="006E3647">
        <w:rPr>
          <w:rFonts w:cstheme="minorHAnsi"/>
          <w:i/>
        </w:rPr>
        <w:t>Czyste P</w:t>
      </w:r>
      <w:r w:rsidR="000273C3" w:rsidRPr="006E3647">
        <w:rPr>
          <w:rFonts w:cstheme="minorHAnsi"/>
          <w:i/>
        </w:rPr>
        <w:t>owietrze</w:t>
      </w:r>
      <w:r w:rsidR="000273C3" w:rsidRPr="006E3647">
        <w:rPr>
          <w:rFonts w:cstheme="minorHAnsi"/>
        </w:rPr>
        <w:t xml:space="preserve"> i ulga termomodernizacyjna wprowadzona </w:t>
      </w:r>
      <w:r w:rsidR="000273C3" w:rsidRPr="006E3647">
        <w:rPr>
          <w:rFonts w:cstheme="minorHAnsi"/>
          <w:color w:val="000000" w:themeColor="text1"/>
        </w:rPr>
        <w:t xml:space="preserve">Ustawą z dnia </w:t>
      </w:r>
      <w:r w:rsidR="00E31969">
        <w:rPr>
          <w:rFonts w:cstheme="minorHAnsi"/>
          <w:color w:val="000000" w:themeColor="text1"/>
        </w:rPr>
        <w:br/>
      </w:r>
      <w:r w:rsidR="000273C3" w:rsidRPr="006E3647">
        <w:rPr>
          <w:rFonts w:cstheme="minorHAnsi"/>
          <w:color w:val="000000" w:themeColor="text1"/>
        </w:rPr>
        <w:t>9 listo</w:t>
      </w:r>
      <w:r>
        <w:rPr>
          <w:rFonts w:cstheme="minorHAnsi"/>
          <w:color w:val="000000" w:themeColor="text1"/>
        </w:rPr>
        <w:t xml:space="preserve">pada 2018 r. o zmianie ustawy o </w:t>
      </w:r>
      <w:r w:rsidR="000273C3" w:rsidRPr="006E3647">
        <w:rPr>
          <w:rFonts w:cstheme="minorHAnsi"/>
          <w:color w:val="000000" w:themeColor="text1"/>
        </w:rPr>
        <w:t xml:space="preserve">podatku dochodowym od osób fizycznych oraz ustawy </w:t>
      </w:r>
      <w:r w:rsidR="00E31969">
        <w:rPr>
          <w:rFonts w:cstheme="minorHAnsi"/>
          <w:color w:val="000000" w:themeColor="text1"/>
        </w:rPr>
        <w:br/>
      </w:r>
      <w:r w:rsidR="000273C3" w:rsidRPr="006E3647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 </w:t>
      </w:r>
      <w:r w:rsidR="000273C3" w:rsidRPr="006E3647">
        <w:rPr>
          <w:rFonts w:cstheme="minorHAnsi"/>
          <w:color w:val="000000" w:themeColor="text1"/>
        </w:rPr>
        <w:t xml:space="preserve">zryczałtowanym podatku dochodowym od niektórych </w:t>
      </w:r>
      <w:r w:rsidR="000273C3" w:rsidRPr="006E3647">
        <w:rPr>
          <w:rFonts w:cstheme="minorHAnsi"/>
          <w:color w:val="000000"/>
        </w:rPr>
        <w:t>przychodów</w:t>
      </w:r>
      <w:r w:rsidR="000273C3" w:rsidRPr="006E3647">
        <w:rPr>
          <w:rFonts w:cstheme="minorHAnsi"/>
          <w:color w:val="000000" w:themeColor="text1"/>
        </w:rPr>
        <w:t xml:space="preserve"> osiąganych przez osoby fizyczne (D</w:t>
      </w:r>
      <w:r w:rsidR="000273C3" w:rsidRPr="006E3647">
        <w:rPr>
          <w:rFonts w:cstheme="minorHAnsi"/>
        </w:rPr>
        <w:t>z. U. z 2018 r. poz. 2246) są dwoma instrumentami wsparcia finansowego, mającymi na celu poprawę efektywności energetyczne</w:t>
      </w:r>
      <w:r>
        <w:rPr>
          <w:rFonts w:cstheme="minorHAnsi"/>
        </w:rPr>
        <w:t xml:space="preserve">j i zmniejszenie emisji pyłów i </w:t>
      </w:r>
      <w:r w:rsidR="000273C3" w:rsidRPr="006E3647">
        <w:rPr>
          <w:rFonts w:cstheme="minorHAnsi"/>
        </w:rPr>
        <w:t xml:space="preserve">innych zanieczyszczeń do atmosfery. </w:t>
      </w:r>
    </w:p>
    <w:p w14:paraId="575CF40C" w14:textId="77777777" w:rsidR="000273C3" w:rsidRPr="006E3647" w:rsidRDefault="000273C3" w:rsidP="0088275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0B48ED" w14:textId="77777777" w:rsidR="000273C3" w:rsidRPr="006E3647" w:rsidRDefault="00882759" w:rsidP="006E3647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E3647">
        <w:rPr>
          <w:rFonts w:cstheme="minorHAnsi"/>
        </w:rPr>
        <w:t xml:space="preserve">Przy opracowywaniu zasad </w:t>
      </w:r>
      <w:r w:rsidR="000273C3" w:rsidRPr="006E3647">
        <w:rPr>
          <w:rFonts w:cstheme="minorHAnsi"/>
        </w:rPr>
        <w:t xml:space="preserve">programu </w:t>
      </w:r>
      <w:r w:rsidRPr="006E3647">
        <w:rPr>
          <w:rFonts w:cstheme="minorHAnsi"/>
        </w:rPr>
        <w:t xml:space="preserve">głównym </w:t>
      </w:r>
      <w:r w:rsidR="007906AD" w:rsidRPr="006E3647">
        <w:rPr>
          <w:rFonts w:cstheme="minorHAnsi"/>
        </w:rPr>
        <w:t xml:space="preserve">założeniem </w:t>
      </w:r>
      <w:r w:rsidR="006E3647">
        <w:rPr>
          <w:rFonts w:cstheme="minorHAnsi"/>
        </w:rPr>
        <w:t xml:space="preserve">było to, </w:t>
      </w:r>
      <w:r w:rsidRPr="006E3647">
        <w:rPr>
          <w:rFonts w:cstheme="minorHAnsi"/>
        </w:rPr>
        <w:t xml:space="preserve">żeby największe dofinansowanie otrzymali </w:t>
      </w:r>
      <w:r w:rsidR="00117E97" w:rsidRPr="006E3647">
        <w:rPr>
          <w:rFonts w:cstheme="minorHAnsi"/>
        </w:rPr>
        <w:t>najubożsi</w:t>
      </w:r>
      <w:r w:rsidRPr="006E3647">
        <w:rPr>
          <w:rFonts w:cstheme="minorHAnsi"/>
        </w:rPr>
        <w:t xml:space="preserve">. Dlatego wysokość wsparcia zależy od średnich miesięcznych dochodów na jedną osobę w gospodarstwie domowym. </w:t>
      </w:r>
    </w:p>
    <w:p w14:paraId="5FF97A65" w14:textId="77777777" w:rsidR="006E3647" w:rsidRPr="006E3647" w:rsidRDefault="006E3647" w:rsidP="006E3647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00D96DC8" w14:textId="77777777" w:rsidR="00034FBF" w:rsidRPr="006E3647" w:rsidRDefault="000273C3" w:rsidP="006E3647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6E3647">
        <w:rPr>
          <w:rFonts w:cstheme="minorHAnsi"/>
        </w:rPr>
        <w:lastRenderedPageBreak/>
        <w:t>Ponadto Wnioskodawców, których średni miesięczny dochód na osobę w gospodarstwie domowym kwalifikuje do Grupy VII w Tabeli 2, intensywność dofinansowania jest uzależniona dodatkowo od osiągniętego przez Wnioskodawcę lub Wnioskodawcę i małżonka (w przypadku wspólnego rozliczenia)</w:t>
      </w:r>
      <w:r w:rsidRPr="006E3647">
        <w:rPr>
          <w:rFonts w:cstheme="minorHAnsi"/>
          <w:color w:val="000000"/>
        </w:rPr>
        <w:t xml:space="preserve"> rocznego dochodu stanowiącego podstawę do opodatkowania za wskazany rok podatkowy poprzedzający datę złożenia wniosku.</w:t>
      </w:r>
    </w:p>
    <w:p w14:paraId="30553327" w14:textId="77777777" w:rsidR="006E3647" w:rsidRDefault="006E3647" w:rsidP="006E36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F981A10" w14:textId="77777777" w:rsidR="00882759" w:rsidRPr="006E3647" w:rsidRDefault="00882759" w:rsidP="006E36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E3647">
        <w:rPr>
          <w:rFonts w:cstheme="minorHAnsi"/>
          <w:b/>
          <w:bCs/>
        </w:rPr>
        <w:t>Intensywność dofinansowania</w:t>
      </w:r>
      <w:r w:rsidR="00E31969">
        <w:rPr>
          <w:rFonts w:cstheme="minorHAnsi"/>
          <w:b/>
          <w:bCs/>
        </w:rPr>
        <w:t xml:space="preserve"> po aktualizacji programu</w:t>
      </w:r>
    </w:p>
    <w:p w14:paraId="192CB450" w14:textId="77777777" w:rsidR="006E3647" w:rsidRPr="006E3647" w:rsidRDefault="006E3647" w:rsidP="006E36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30E30C9" w14:textId="77777777" w:rsidR="00882759" w:rsidRDefault="00882759" w:rsidP="006E3647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cstheme="minorHAnsi"/>
          <w:color w:val="000000" w:themeColor="text1"/>
        </w:rPr>
      </w:pPr>
      <w:r w:rsidRPr="006E3647">
        <w:rPr>
          <w:rFonts w:cstheme="minorHAnsi"/>
          <w:b/>
          <w:color w:val="000000"/>
        </w:rPr>
        <w:t xml:space="preserve">Tabela nr 1 </w:t>
      </w:r>
      <w:r w:rsidRPr="006E3647">
        <w:rPr>
          <w:rFonts w:cstheme="minorHAnsi"/>
          <w:color w:val="000000"/>
        </w:rPr>
        <w:t xml:space="preserve">dotyczy </w:t>
      </w:r>
      <w:r w:rsidRPr="006E3647">
        <w:rPr>
          <w:rFonts w:cstheme="minorHAnsi"/>
        </w:rPr>
        <w:t xml:space="preserve">Wnioskodawców, którzy nie mogą skorzystać z ulgi termomodernizacyjnej, </w:t>
      </w:r>
      <w:r w:rsidR="00E31969">
        <w:rPr>
          <w:rFonts w:cstheme="minorHAnsi"/>
        </w:rPr>
        <w:br/>
      </w:r>
      <w:r w:rsidRPr="006E3647">
        <w:rPr>
          <w:rFonts w:cstheme="minorHAnsi"/>
        </w:rPr>
        <w:t>w szczególności Wnioskodawców, których dochody nie podlegają opodatkowaniu na podstawie przepisów o</w:t>
      </w:r>
      <w:r w:rsidR="006E3647">
        <w:rPr>
          <w:rFonts w:cstheme="minorHAnsi"/>
        </w:rPr>
        <w:t xml:space="preserve"> podatku dochodowym od </w:t>
      </w:r>
      <w:r w:rsidRPr="006E3647">
        <w:rPr>
          <w:rFonts w:cstheme="minorHAnsi"/>
        </w:rPr>
        <w:t>osób fizycznych:</w:t>
      </w:r>
      <w:r w:rsidRPr="006E3647">
        <w:rPr>
          <w:rFonts w:cstheme="minorHAnsi"/>
          <w:color w:val="000000" w:themeColor="text1"/>
        </w:rPr>
        <w:t xml:space="preserve"> wymienione w art. 3 pkt 1 lit. c ustawy </w:t>
      </w:r>
      <w:r w:rsidR="00E31969">
        <w:rPr>
          <w:rFonts w:cstheme="minorHAnsi"/>
          <w:color w:val="000000" w:themeColor="text1"/>
        </w:rPr>
        <w:br/>
      </w:r>
      <w:r w:rsidRPr="006E3647">
        <w:rPr>
          <w:rFonts w:cstheme="minorHAnsi"/>
          <w:color w:val="000000" w:themeColor="text1"/>
        </w:rPr>
        <w:t>o świadczeniach rodzinnych (Dz.</w:t>
      </w:r>
      <w:r w:rsidR="00E31969">
        <w:rPr>
          <w:rFonts w:cstheme="minorHAnsi"/>
          <w:color w:val="000000" w:themeColor="text1"/>
        </w:rPr>
        <w:t xml:space="preserve"> </w:t>
      </w:r>
      <w:r w:rsidRPr="006E3647">
        <w:rPr>
          <w:rFonts w:cstheme="minorHAnsi"/>
          <w:color w:val="000000" w:themeColor="text1"/>
        </w:rPr>
        <w:t>U.</w:t>
      </w:r>
      <w:r w:rsidR="006E3647">
        <w:rPr>
          <w:rFonts w:cstheme="minorHAnsi"/>
          <w:color w:val="000000" w:themeColor="text1"/>
        </w:rPr>
        <w:t xml:space="preserve"> </w:t>
      </w:r>
      <w:r w:rsidRPr="006E3647">
        <w:rPr>
          <w:rFonts w:cstheme="minorHAnsi"/>
          <w:color w:val="000000" w:themeColor="text1"/>
        </w:rPr>
        <w:t>z</w:t>
      </w:r>
      <w:r w:rsidR="006E3647">
        <w:rPr>
          <w:rFonts w:cstheme="minorHAnsi"/>
          <w:color w:val="000000" w:themeColor="text1"/>
        </w:rPr>
        <w:t xml:space="preserve"> </w:t>
      </w:r>
      <w:r w:rsidRPr="006E3647">
        <w:rPr>
          <w:rFonts w:cstheme="minorHAnsi"/>
          <w:color w:val="000000" w:themeColor="text1"/>
        </w:rPr>
        <w:t>2017 r. poz. 1952, z późn. zm.) oraz Wnioskodawców korzystających z dofinansowania dotyczącego nowo budowanych budynków jednorodzinnych.</w:t>
      </w:r>
    </w:p>
    <w:p w14:paraId="3272730D" w14:textId="77777777" w:rsidR="00E31969" w:rsidRPr="006E3647" w:rsidRDefault="00E31969" w:rsidP="006E3647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cstheme="minorHAnsi"/>
          <w:color w:val="000000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120"/>
        <w:gridCol w:w="1773"/>
        <w:gridCol w:w="1964"/>
        <w:gridCol w:w="2373"/>
      </w:tblGrid>
      <w:tr w:rsidR="00882759" w:rsidRPr="006E3647" w14:paraId="5CA3605D" w14:textId="77777777" w:rsidTr="006E3647">
        <w:trPr>
          <w:cantSplit/>
          <w:trHeight w:val="262"/>
        </w:trPr>
        <w:tc>
          <w:tcPr>
            <w:tcW w:w="450" w:type="pct"/>
            <w:vMerge w:val="restart"/>
            <w:vAlign w:val="center"/>
          </w:tcPr>
          <w:p w14:paraId="6BB48001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Grupa</w:t>
            </w:r>
          </w:p>
        </w:tc>
        <w:tc>
          <w:tcPr>
            <w:tcW w:w="1172" w:type="pct"/>
            <w:vMerge w:val="restart"/>
            <w:vAlign w:val="center"/>
          </w:tcPr>
          <w:p w14:paraId="069F8EBE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 xml:space="preserve">Kwota </w:t>
            </w:r>
            <w:r w:rsidRPr="006E3647">
              <w:rPr>
                <w:b/>
              </w:rPr>
              <w:t>średniego</w:t>
            </w:r>
            <w:r w:rsidRPr="006E3647">
              <w:rPr>
                <w:b/>
                <w:color w:val="000000"/>
              </w:rPr>
              <w:t xml:space="preserve"> miesięcznego dochodu / osoba</w:t>
            </w:r>
          </w:p>
          <w:p w14:paraId="3233C38D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[zł]</w:t>
            </w:r>
          </w:p>
        </w:tc>
        <w:tc>
          <w:tcPr>
            <w:tcW w:w="980" w:type="pct"/>
            <w:vMerge w:val="restart"/>
            <w:vAlign w:val="center"/>
          </w:tcPr>
          <w:p w14:paraId="06E1B85D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Dotacja</w:t>
            </w:r>
          </w:p>
          <w:p w14:paraId="1C6A8DD8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(procent kosztów kwalifikowanych przewidzianych do wsparcia dotacyjnego)</w:t>
            </w:r>
          </w:p>
        </w:tc>
        <w:tc>
          <w:tcPr>
            <w:tcW w:w="2399" w:type="pct"/>
            <w:gridSpan w:val="2"/>
            <w:vAlign w:val="center"/>
          </w:tcPr>
          <w:p w14:paraId="3ED06AF0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Pożyczka</w:t>
            </w:r>
          </w:p>
        </w:tc>
      </w:tr>
      <w:tr w:rsidR="00882759" w:rsidRPr="006E3647" w14:paraId="74BD6BDA" w14:textId="77777777" w:rsidTr="006E3647">
        <w:trPr>
          <w:cantSplit/>
          <w:trHeight w:val="1630"/>
        </w:trPr>
        <w:tc>
          <w:tcPr>
            <w:tcW w:w="450" w:type="pct"/>
            <w:vMerge/>
            <w:vAlign w:val="center"/>
          </w:tcPr>
          <w:p w14:paraId="02B4AE33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vMerge/>
            <w:vAlign w:val="center"/>
          </w:tcPr>
          <w:p w14:paraId="688B88E8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80" w:type="pct"/>
            <w:vMerge/>
            <w:vAlign w:val="center"/>
          </w:tcPr>
          <w:p w14:paraId="4C1016D5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2048BF19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color w:val="000000"/>
              </w:rPr>
              <w:t xml:space="preserve"> uzupełnienie do wartości dotacji</w:t>
            </w:r>
          </w:p>
        </w:tc>
        <w:tc>
          <w:tcPr>
            <w:tcW w:w="1313" w:type="pct"/>
            <w:vAlign w:val="center"/>
          </w:tcPr>
          <w:p w14:paraId="21D7F421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color w:val="000000"/>
              </w:rPr>
              <w:t xml:space="preserve"> pozostałe koszty kwalifikowane </w:t>
            </w:r>
            <w:r w:rsidRPr="006E3647">
              <w:rPr>
                <w:color w:val="000000"/>
              </w:rPr>
              <w:br/>
              <w:t>(uzupełnienie do wysokości maksymalnych jednostkowych kosztów kwalifikowanych)</w:t>
            </w:r>
          </w:p>
        </w:tc>
      </w:tr>
      <w:tr w:rsidR="00882759" w:rsidRPr="006E3647" w14:paraId="11A84349" w14:textId="77777777" w:rsidTr="006E3647">
        <w:trPr>
          <w:cantSplit/>
          <w:trHeight w:val="262"/>
        </w:trPr>
        <w:tc>
          <w:tcPr>
            <w:tcW w:w="450" w:type="pct"/>
          </w:tcPr>
          <w:p w14:paraId="21DF908B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</w:t>
            </w:r>
          </w:p>
        </w:tc>
        <w:tc>
          <w:tcPr>
            <w:tcW w:w="1172" w:type="pct"/>
          </w:tcPr>
          <w:p w14:paraId="18B8F233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2</w:t>
            </w:r>
          </w:p>
        </w:tc>
        <w:tc>
          <w:tcPr>
            <w:tcW w:w="980" w:type="pct"/>
          </w:tcPr>
          <w:p w14:paraId="0A304FDE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3</w:t>
            </w:r>
          </w:p>
        </w:tc>
        <w:tc>
          <w:tcPr>
            <w:tcW w:w="1086" w:type="pct"/>
          </w:tcPr>
          <w:p w14:paraId="7A74BA1B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4</w:t>
            </w:r>
          </w:p>
        </w:tc>
        <w:tc>
          <w:tcPr>
            <w:tcW w:w="1313" w:type="pct"/>
          </w:tcPr>
          <w:p w14:paraId="6B14A26E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5</w:t>
            </w:r>
          </w:p>
        </w:tc>
      </w:tr>
      <w:tr w:rsidR="00882759" w:rsidRPr="006E3647" w14:paraId="0DA94EBD" w14:textId="77777777" w:rsidTr="006E3647">
        <w:trPr>
          <w:cantSplit/>
          <w:trHeight w:val="262"/>
        </w:trPr>
        <w:tc>
          <w:tcPr>
            <w:tcW w:w="450" w:type="pct"/>
          </w:tcPr>
          <w:p w14:paraId="7F29FB97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</w:t>
            </w:r>
          </w:p>
        </w:tc>
        <w:tc>
          <w:tcPr>
            <w:tcW w:w="1172" w:type="pct"/>
          </w:tcPr>
          <w:p w14:paraId="08A5D947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600</w:t>
            </w:r>
          </w:p>
        </w:tc>
        <w:tc>
          <w:tcPr>
            <w:tcW w:w="980" w:type="pct"/>
          </w:tcPr>
          <w:p w14:paraId="5D8D315D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90%</w:t>
            </w:r>
          </w:p>
        </w:tc>
        <w:tc>
          <w:tcPr>
            <w:tcW w:w="1086" w:type="pct"/>
          </w:tcPr>
          <w:p w14:paraId="0CAB9BF3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10%</w:t>
            </w:r>
          </w:p>
        </w:tc>
        <w:tc>
          <w:tcPr>
            <w:tcW w:w="1313" w:type="pct"/>
          </w:tcPr>
          <w:p w14:paraId="2E8A609E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  <w:tr w:rsidR="00882759" w:rsidRPr="006E3647" w14:paraId="1AB5A497" w14:textId="77777777" w:rsidTr="006E3647">
        <w:trPr>
          <w:cantSplit/>
          <w:trHeight w:val="262"/>
        </w:trPr>
        <w:tc>
          <w:tcPr>
            <w:tcW w:w="450" w:type="pct"/>
          </w:tcPr>
          <w:p w14:paraId="333E6B1F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II</w:t>
            </w:r>
          </w:p>
        </w:tc>
        <w:tc>
          <w:tcPr>
            <w:tcW w:w="1172" w:type="pct"/>
            <w:vAlign w:val="bottom"/>
          </w:tcPr>
          <w:p w14:paraId="7CA06285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601 – 800</w:t>
            </w:r>
          </w:p>
        </w:tc>
        <w:tc>
          <w:tcPr>
            <w:tcW w:w="980" w:type="pct"/>
          </w:tcPr>
          <w:p w14:paraId="2FF0757D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80%</w:t>
            </w:r>
          </w:p>
        </w:tc>
        <w:tc>
          <w:tcPr>
            <w:tcW w:w="1086" w:type="pct"/>
          </w:tcPr>
          <w:p w14:paraId="36D808EA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20%</w:t>
            </w:r>
          </w:p>
        </w:tc>
        <w:tc>
          <w:tcPr>
            <w:tcW w:w="1313" w:type="pct"/>
          </w:tcPr>
          <w:p w14:paraId="18DABDF2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  <w:tr w:rsidR="00882759" w:rsidRPr="006E3647" w14:paraId="4A5EFAA9" w14:textId="77777777" w:rsidTr="006E3647">
        <w:trPr>
          <w:cantSplit/>
          <w:trHeight w:val="275"/>
        </w:trPr>
        <w:tc>
          <w:tcPr>
            <w:tcW w:w="450" w:type="pct"/>
          </w:tcPr>
          <w:p w14:paraId="4577E6C2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III</w:t>
            </w:r>
          </w:p>
        </w:tc>
        <w:tc>
          <w:tcPr>
            <w:tcW w:w="1172" w:type="pct"/>
            <w:tcBorders>
              <w:top w:val="nil"/>
            </w:tcBorders>
            <w:vAlign w:val="bottom"/>
          </w:tcPr>
          <w:p w14:paraId="23DC7945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801 – 1000</w:t>
            </w:r>
          </w:p>
        </w:tc>
        <w:tc>
          <w:tcPr>
            <w:tcW w:w="980" w:type="pct"/>
          </w:tcPr>
          <w:p w14:paraId="5C2508E8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70%</w:t>
            </w:r>
          </w:p>
        </w:tc>
        <w:tc>
          <w:tcPr>
            <w:tcW w:w="1086" w:type="pct"/>
          </w:tcPr>
          <w:p w14:paraId="13D39901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30%</w:t>
            </w:r>
          </w:p>
        </w:tc>
        <w:tc>
          <w:tcPr>
            <w:tcW w:w="1313" w:type="pct"/>
          </w:tcPr>
          <w:p w14:paraId="37A18458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  <w:tr w:rsidR="00882759" w:rsidRPr="006E3647" w14:paraId="3C757AFA" w14:textId="77777777" w:rsidTr="006E3647">
        <w:trPr>
          <w:cantSplit/>
          <w:trHeight w:val="262"/>
        </w:trPr>
        <w:tc>
          <w:tcPr>
            <w:tcW w:w="450" w:type="pct"/>
          </w:tcPr>
          <w:p w14:paraId="38C3054E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IV</w:t>
            </w:r>
          </w:p>
        </w:tc>
        <w:tc>
          <w:tcPr>
            <w:tcW w:w="1172" w:type="pct"/>
            <w:tcBorders>
              <w:top w:val="nil"/>
            </w:tcBorders>
            <w:vAlign w:val="bottom"/>
          </w:tcPr>
          <w:p w14:paraId="2CAF47FF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1001 – 1200</w:t>
            </w:r>
          </w:p>
        </w:tc>
        <w:tc>
          <w:tcPr>
            <w:tcW w:w="980" w:type="pct"/>
          </w:tcPr>
          <w:p w14:paraId="5B69C020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60%</w:t>
            </w:r>
          </w:p>
        </w:tc>
        <w:tc>
          <w:tcPr>
            <w:tcW w:w="1086" w:type="pct"/>
          </w:tcPr>
          <w:p w14:paraId="02FC7833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40%</w:t>
            </w:r>
          </w:p>
        </w:tc>
        <w:tc>
          <w:tcPr>
            <w:tcW w:w="1313" w:type="pct"/>
          </w:tcPr>
          <w:p w14:paraId="2A9BF793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  <w:tr w:rsidR="00882759" w:rsidRPr="006E3647" w14:paraId="4F8D9E6E" w14:textId="77777777" w:rsidTr="006E3647">
        <w:trPr>
          <w:cantSplit/>
          <w:trHeight w:val="262"/>
        </w:trPr>
        <w:tc>
          <w:tcPr>
            <w:tcW w:w="450" w:type="pct"/>
          </w:tcPr>
          <w:p w14:paraId="01FB98A0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V</w:t>
            </w:r>
          </w:p>
        </w:tc>
        <w:tc>
          <w:tcPr>
            <w:tcW w:w="1172" w:type="pct"/>
            <w:tcBorders>
              <w:top w:val="nil"/>
            </w:tcBorders>
            <w:vAlign w:val="bottom"/>
          </w:tcPr>
          <w:p w14:paraId="2C1AD066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1201 – 1400</w:t>
            </w:r>
          </w:p>
        </w:tc>
        <w:tc>
          <w:tcPr>
            <w:tcW w:w="980" w:type="pct"/>
          </w:tcPr>
          <w:p w14:paraId="1BB99B39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50%</w:t>
            </w:r>
          </w:p>
        </w:tc>
        <w:tc>
          <w:tcPr>
            <w:tcW w:w="1086" w:type="pct"/>
          </w:tcPr>
          <w:p w14:paraId="3A848CBC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50%</w:t>
            </w:r>
          </w:p>
        </w:tc>
        <w:tc>
          <w:tcPr>
            <w:tcW w:w="1313" w:type="pct"/>
          </w:tcPr>
          <w:p w14:paraId="0A17D687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  <w:tr w:rsidR="00882759" w:rsidRPr="006E3647" w14:paraId="46B0D433" w14:textId="77777777" w:rsidTr="006E3647">
        <w:trPr>
          <w:cantSplit/>
          <w:trHeight w:val="262"/>
        </w:trPr>
        <w:tc>
          <w:tcPr>
            <w:tcW w:w="450" w:type="pct"/>
          </w:tcPr>
          <w:p w14:paraId="0703D44E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VI</w:t>
            </w:r>
          </w:p>
        </w:tc>
        <w:tc>
          <w:tcPr>
            <w:tcW w:w="1172" w:type="pct"/>
            <w:tcBorders>
              <w:top w:val="nil"/>
            </w:tcBorders>
            <w:vAlign w:val="bottom"/>
          </w:tcPr>
          <w:p w14:paraId="38F46EDB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1401 – 1600</w:t>
            </w:r>
          </w:p>
        </w:tc>
        <w:tc>
          <w:tcPr>
            <w:tcW w:w="980" w:type="pct"/>
          </w:tcPr>
          <w:p w14:paraId="144D9C15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40%</w:t>
            </w:r>
          </w:p>
        </w:tc>
        <w:tc>
          <w:tcPr>
            <w:tcW w:w="1086" w:type="pct"/>
          </w:tcPr>
          <w:p w14:paraId="006980EA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60%</w:t>
            </w:r>
          </w:p>
        </w:tc>
        <w:tc>
          <w:tcPr>
            <w:tcW w:w="1313" w:type="pct"/>
          </w:tcPr>
          <w:p w14:paraId="6A8335B8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  <w:tr w:rsidR="00882759" w:rsidRPr="006E3647" w14:paraId="3C7C0BA2" w14:textId="77777777" w:rsidTr="006E3647">
        <w:trPr>
          <w:cantSplit/>
          <w:trHeight w:val="262"/>
        </w:trPr>
        <w:tc>
          <w:tcPr>
            <w:tcW w:w="450" w:type="pct"/>
          </w:tcPr>
          <w:p w14:paraId="08C9702A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VII</w:t>
            </w:r>
          </w:p>
        </w:tc>
        <w:tc>
          <w:tcPr>
            <w:tcW w:w="1172" w:type="pct"/>
            <w:tcBorders>
              <w:top w:val="nil"/>
            </w:tcBorders>
          </w:tcPr>
          <w:p w14:paraId="32E0A13F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powyżej 1600</w:t>
            </w:r>
          </w:p>
        </w:tc>
        <w:tc>
          <w:tcPr>
            <w:tcW w:w="980" w:type="pct"/>
          </w:tcPr>
          <w:p w14:paraId="6E96CB3F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30%</w:t>
            </w:r>
          </w:p>
        </w:tc>
        <w:tc>
          <w:tcPr>
            <w:tcW w:w="1086" w:type="pct"/>
          </w:tcPr>
          <w:p w14:paraId="2A00162A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70%</w:t>
            </w:r>
          </w:p>
        </w:tc>
        <w:tc>
          <w:tcPr>
            <w:tcW w:w="1313" w:type="pct"/>
          </w:tcPr>
          <w:p w14:paraId="605F20D9" w14:textId="77777777" w:rsidR="00882759" w:rsidRPr="006E3647" w:rsidRDefault="00882759" w:rsidP="00E85212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</w:tr>
    </w:tbl>
    <w:p w14:paraId="7DD727C8" w14:textId="77777777" w:rsidR="00E31969" w:rsidRDefault="00E31969">
      <w:pPr>
        <w:rPr>
          <w:rFonts w:cstheme="minorHAnsi"/>
          <w:b/>
          <w:color w:val="000000"/>
        </w:rPr>
      </w:pPr>
    </w:p>
    <w:p w14:paraId="421E0D01" w14:textId="77777777" w:rsidR="00E31969" w:rsidRDefault="00E31969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15E5C831" w14:textId="77777777" w:rsidR="00887C7B" w:rsidRDefault="00887C7B" w:rsidP="006E3647">
      <w:pPr>
        <w:jc w:val="both"/>
        <w:rPr>
          <w:rFonts w:cstheme="minorHAnsi"/>
          <w:b/>
          <w:color w:val="000000"/>
        </w:rPr>
      </w:pPr>
    </w:p>
    <w:p w14:paraId="2B3DB7B3" w14:textId="77777777" w:rsidR="00882759" w:rsidRDefault="00882759" w:rsidP="006E3647">
      <w:pPr>
        <w:jc w:val="both"/>
        <w:rPr>
          <w:rFonts w:cstheme="minorHAnsi"/>
        </w:rPr>
      </w:pPr>
      <w:r w:rsidRPr="006E3647">
        <w:rPr>
          <w:rFonts w:cstheme="minorHAnsi"/>
          <w:b/>
          <w:color w:val="000000"/>
        </w:rPr>
        <w:t>Tabela nr 2</w:t>
      </w:r>
      <w:r w:rsidRPr="006E3647">
        <w:rPr>
          <w:rFonts w:cstheme="minorHAnsi"/>
          <w:color w:val="000000"/>
        </w:rPr>
        <w:t xml:space="preserve"> </w:t>
      </w:r>
      <w:r w:rsidRPr="006E3647">
        <w:rPr>
          <w:rFonts w:cstheme="minorHAnsi"/>
        </w:rPr>
        <w:t xml:space="preserve">dotyczy Wnioskodawców, którzy rozliczając się indywidualnie lub wspólnie z małżonkiem, będą mogli skorzystać z ulgi termomodernizacyjnej na zasadach określonych w </w:t>
      </w:r>
      <w:r w:rsidRPr="006E3647">
        <w:rPr>
          <w:rFonts w:cstheme="minorHAnsi"/>
          <w:color w:val="000000" w:themeColor="text1"/>
        </w:rPr>
        <w:t xml:space="preserve">ustawie z dnia </w:t>
      </w:r>
      <w:r w:rsidR="00E31969">
        <w:rPr>
          <w:rFonts w:cstheme="minorHAnsi"/>
          <w:color w:val="000000" w:themeColor="text1"/>
        </w:rPr>
        <w:br/>
      </w:r>
      <w:r w:rsidRPr="006E3647">
        <w:rPr>
          <w:rFonts w:cstheme="minorHAnsi"/>
          <w:color w:val="000000" w:themeColor="text1"/>
        </w:rPr>
        <w:t>9 listopada 2018 r. o zmianie ustawy o</w:t>
      </w:r>
      <w:r w:rsidR="006E3647">
        <w:rPr>
          <w:rFonts w:cstheme="minorHAnsi"/>
          <w:color w:val="000000" w:themeColor="text1"/>
        </w:rPr>
        <w:t xml:space="preserve"> </w:t>
      </w:r>
      <w:r w:rsidRPr="006E3647">
        <w:rPr>
          <w:rFonts w:cstheme="minorHAnsi"/>
          <w:color w:val="000000" w:themeColor="text1"/>
        </w:rPr>
        <w:t xml:space="preserve">podatku dochodowym od osób fizycznych oraz ustawy </w:t>
      </w:r>
      <w:r w:rsidR="00E31969">
        <w:rPr>
          <w:rFonts w:cstheme="minorHAnsi"/>
          <w:color w:val="000000" w:themeColor="text1"/>
        </w:rPr>
        <w:br/>
      </w:r>
      <w:r w:rsidRPr="006E3647">
        <w:rPr>
          <w:rFonts w:cstheme="minorHAnsi"/>
          <w:color w:val="000000" w:themeColor="text1"/>
        </w:rPr>
        <w:t>o</w:t>
      </w:r>
      <w:r w:rsidR="006E3647">
        <w:rPr>
          <w:rFonts w:cstheme="minorHAnsi"/>
          <w:color w:val="000000" w:themeColor="text1"/>
        </w:rPr>
        <w:t xml:space="preserve"> </w:t>
      </w:r>
      <w:r w:rsidRPr="006E3647">
        <w:rPr>
          <w:rFonts w:cstheme="minorHAnsi"/>
          <w:color w:val="000000" w:themeColor="text1"/>
        </w:rPr>
        <w:t xml:space="preserve">zryczałtowanym podatku dochodowym od niektórych </w:t>
      </w:r>
      <w:r w:rsidRPr="006E3647">
        <w:rPr>
          <w:rFonts w:cstheme="minorHAnsi"/>
          <w:color w:val="000000"/>
        </w:rPr>
        <w:t>przychodów</w:t>
      </w:r>
      <w:r w:rsidRPr="006E3647">
        <w:rPr>
          <w:rFonts w:cstheme="minorHAnsi"/>
          <w:color w:val="000000" w:themeColor="text1"/>
        </w:rPr>
        <w:t xml:space="preserve"> osiąganych przez osoby fizyczne (D</w:t>
      </w:r>
      <w:r w:rsidRPr="006E3647">
        <w:rPr>
          <w:rFonts w:cstheme="minorHAnsi"/>
        </w:rPr>
        <w:t>z. U. z 2018 r. poz. 2246).</w:t>
      </w:r>
    </w:p>
    <w:p w14:paraId="79BD14D5" w14:textId="77777777" w:rsidR="00E31969" w:rsidRPr="006E3647" w:rsidRDefault="00E31969" w:rsidP="006E364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1444"/>
        <w:gridCol w:w="1700"/>
        <w:gridCol w:w="1365"/>
        <w:gridCol w:w="1886"/>
        <w:gridCol w:w="1887"/>
      </w:tblGrid>
      <w:tr w:rsidR="000273C3" w:rsidRPr="006E3647" w14:paraId="6CBC92B0" w14:textId="77777777" w:rsidTr="00A70656">
        <w:trPr>
          <w:cantSplit/>
          <w:trHeight w:val="289"/>
        </w:trPr>
        <w:tc>
          <w:tcPr>
            <w:tcW w:w="418" w:type="pct"/>
            <w:vMerge w:val="restart"/>
            <w:vAlign w:val="center"/>
          </w:tcPr>
          <w:p w14:paraId="65D5222B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Grupa</w:t>
            </w:r>
          </w:p>
        </w:tc>
        <w:tc>
          <w:tcPr>
            <w:tcW w:w="793" w:type="pct"/>
            <w:vMerge w:val="restart"/>
            <w:vAlign w:val="center"/>
          </w:tcPr>
          <w:p w14:paraId="3C8CAFF3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Kwota średniego miesięcznego dochodu / osoba</w:t>
            </w:r>
          </w:p>
          <w:p w14:paraId="7C46DF6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[zł]</w:t>
            </w:r>
          </w:p>
        </w:tc>
        <w:tc>
          <w:tcPr>
            <w:tcW w:w="929" w:type="pct"/>
            <w:vMerge w:val="restart"/>
            <w:vAlign w:val="center"/>
          </w:tcPr>
          <w:p w14:paraId="45F67D37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Dotacja</w:t>
            </w:r>
          </w:p>
          <w:p w14:paraId="1C2E835F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(procent kosztów kwalifikowanych przewidzianych do wsparcia dotacyjnego)</w:t>
            </w:r>
          </w:p>
        </w:tc>
        <w:tc>
          <w:tcPr>
            <w:tcW w:w="1795" w:type="pct"/>
            <w:gridSpan w:val="2"/>
            <w:vAlign w:val="center"/>
          </w:tcPr>
          <w:p w14:paraId="3F728590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Pożyczka</w:t>
            </w:r>
          </w:p>
        </w:tc>
        <w:tc>
          <w:tcPr>
            <w:tcW w:w="1065" w:type="pct"/>
            <w:vMerge w:val="restart"/>
            <w:vAlign w:val="center"/>
          </w:tcPr>
          <w:p w14:paraId="277ACC0A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Kwota rocznego dochodu wnioskodawcy</w:t>
            </w:r>
          </w:p>
          <w:p w14:paraId="2CF2769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b/>
                <w:color w:val="000000"/>
              </w:rPr>
              <w:t>[zł]</w:t>
            </w:r>
          </w:p>
        </w:tc>
      </w:tr>
      <w:tr w:rsidR="000273C3" w:rsidRPr="006E3647" w14:paraId="3127347E" w14:textId="77777777" w:rsidTr="00A70656">
        <w:trPr>
          <w:cantSplit/>
          <w:trHeight w:val="2395"/>
        </w:trPr>
        <w:tc>
          <w:tcPr>
            <w:tcW w:w="418" w:type="pct"/>
            <w:vMerge/>
            <w:vAlign w:val="center"/>
          </w:tcPr>
          <w:p w14:paraId="1954523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3" w:type="pct"/>
            <w:vMerge/>
            <w:vAlign w:val="center"/>
          </w:tcPr>
          <w:p w14:paraId="52E3C201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9" w:type="pct"/>
            <w:vMerge/>
            <w:vAlign w:val="center"/>
          </w:tcPr>
          <w:p w14:paraId="06968406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30" w:type="pct"/>
            <w:vAlign w:val="center"/>
          </w:tcPr>
          <w:p w14:paraId="57537D9F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color w:val="000000"/>
              </w:rPr>
              <w:t xml:space="preserve"> uzupełnienie do wartości dotacji</w:t>
            </w:r>
          </w:p>
        </w:tc>
        <w:tc>
          <w:tcPr>
            <w:tcW w:w="1065" w:type="pct"/>
            <w:vAlign w:val="center"/>
          </w:tcPr>
          <w:p w14:paraId="39071361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color w:val="000000"/>
              </w:rPr>
              <w:t xml:space="preserve"> pozostałe koszty kwalifikowane </w:t>
            </w:r>
            <w:r w:rsidRPr="006E3647">
              <w:rPr>
                <w:color w:val="000000"/>
              </w:rPr>
              <w:br/>
              <w:t>(uzupełnienie do wysokości maksymalnych jednostkowych kosztów kwalifikowanych)</w:t>
            </w:r>
          </w:p>
        </w:tc>
        <w:tc>
          <w:tcPr>
            <w:tcW w:w="1065" w:type="pct"/>
            <w:vMerge/>
            <w:vAlign w:val="center"/>
          </w:tcPr>
          <w:p w14:paraId="5F7F492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3C3" w:rsidRPr="006E3647" w14:paraId="6F7EC5A1" w14:textId="77777777" w:rsidTr="00A70656">
        <w:trPr>
          <w:cantSplit/>
          <w:trHeight w:val="289"/>
        </w:trPr>
        <w:tc>
          <w:tcPr>
            <w:tcW w:w="418" w:type="pct"/>
          </w:tcPr>
          <w:p w14:paraId="481583E4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</w:t>
            </w:r>
          </w:p>
        </w:tc>
        <w:tc>
          <w:tcPr>
            <w:tcW w:w="793" w:type="pct"/>
          </w:tcPr>
          <w:p w14:paraId="7C718B8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2</w:t>
            </w:r>
          </w:p>
        </w:tc>
        <w:tc>
          <w:tcPr>
            <w:tcW w:w="929" w:type="pct"/>
          </w:tcPr>
          <w:p w14:paraId="2B03BC9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4</w:t>
            </w:r>
          </w:p>
        </w:tc>
        <w:tc>
          <w:tcPr>
            <w:tcW w:w="730" w:type="pct"/>
          </w:tcPr>
          <w:p w14:paraId="496716B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5</w:t>
            </w:r>
          </w:p>
        </w:tc>
        <w:tc>
          <w:tcPr>
            <w:tcW w:w="1065" w:type="pct"/>
          </w:tcPr>
          <w:p w14:paraId="12DF623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6</w:t>
            </w:r>
          </w:p>
        </w:tc>
        <w:tc>
          <w:tcPr>
            <w:tcW w:w="1065" w:type="pct"/>
          </w:tcPr>
          <w:p w14:paraId="1EC7BBD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7</w:t>
            </w:r>
          </w:p>
        </w:tc>
      </w:tr>
      <w:tr w:rsidR="000273C3" w:rsidRPr="006E3647" w14:paraId="17542CAF" w14:textId="77777777" w:rsidTr="00A70656">
        <w:trPr>
          <w:cantSplit/>
          <w:trHeight w:val="289"/>
        </w:trPr>
        <w:tc>
          <w:tcPr>
            <w:tcW w:w="418" w:type="pct"/>
          </w:tcPr>
          <w:p w14:paraId="6D70A21A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</w:t>
            </w:r>
          </w:p>
        </w:tc>
        <w:tc>
          <w:tcPr>
            <w:tcW w:w="793" w:type="pct"/>
          </w:tcPr>
          <w:p w14:paraId="1507BFF3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600</w:t>
            </w:r>
          </w:p>
        </w:tc>
        <w:tc>
          <w:tcPr>
            <w:tcW w:w="929" w:type="pct"/>
          </w:tcPr>
          <w:p w14:paraId="655B948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90%</w:t>
            </w:r>
          </w:p>
        </w:tc>
        <w:tc>
          <w:tcPr>
            <w:tcW w:w="730" w:type="pct"/>
          </w:tcPr>
          <w:p w14:paraId="055E1BA6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10%</w:t>
            </w:r>
          </w:p>
        </w:tc>
        <w:tc>
          <w:tcPr>
            <w:tcW w:w="1065" w:type="pct"/>
          </w:tcPr>
          <w:p w14:paraId="0657548C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Merge w:val="restart"/>
            <w:vAlign w:val="center"/>
          </w:tcPr>
          <w:p w14:paraId="5F533CE6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1C29E" wp14:editId="4D4409A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-494665</wp:posOffset>
                      </wp:positionV>
                      <wp:extent cx="944880" cy="1828800"/>
                      <wp:effectExtent l="216852" t="0" r="110173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59898">
                                <a:off x="0" y="0"/>
                                <a:ext cx="9448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DBCC5E" w14:textId="77777777" w:rsidR="000273C3" w:rsidRPr="00EA5943" w:rsidRDefault="000273C3" w:rsidP="000273C3">
                                  <w:pPr>
                                    <w:keepLines/>
                                    <w:tabs>
                                      <w:tab w:val="left" w:pos="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Nie dotyczy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1C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65.45pt;margin-top:-38.95pt;width:74.4pt;height:2in;rotation:-34298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" filled="f" stroked="f">
                      <v:textbox style="mso-fit-shape-to-text:t">
                        <w:txbxContent>
                          <w:p w14:paraId="28DBCC5E" w14:textId="77777777" w:rsidR="000273C3" w:rsidRPr="00EA5943" w:rsidRDefault="000273C3" w:rsidP="000273C3">
                            <w:pPr>
                              <w:keepLines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 dotyczy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73C3" w:rsidRPr="006E3647" w14:paraId="68E68E00" w14:textId="77777777" w:rsidTr="00A70656">
        <w:trPr>
          <w:cantSplit/>
          <w:trHeight w:val="289"/>
        </w:trPr>
        <w:tc>
          <w:tcPr>
            <w:tcW w:w="418" w:type="pct"/>
          </w:tcPr>
          <w:p w14:paraId="1342E2FC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II</w:t>
            </w:r>
          </w:p>
        </w:tc>
        <w:tc>
          <w:tcPr>
            <w:tcW w:w="793" w:type="pct"/>
            <w:vAlign w:val="bottom"/>
          </w:tcPr>
          <w:p w14:paraId="080A93E0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601 – 800</w:t>
            </w:r>
          </w:p>
        </w:tc>
        <w:tc>
          <w:tcPr>
            <w:tcW w:w="929" w:type="pct"/>
          </w:tcPr>
          <w:p w14:paraId="18D79FF1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80%</w:t>
            </w:r>
          </w:p>
        </w:tc>
        <w:tc>
          <w:tcPr>
            <w:tcW w:w="730" w:type="pct"/>
          </w:tcPr>
          <w:p w14:paraId="231F906F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20%</w:t>
            </w:r>
          </w:p>
        </w:tc>
        <w:tc>
          <w:tcPr>
            <w:tcW w:w="1065" w:type="pct"/>
          </w:tcPr>
          <w:p w14:paraId="0CF4A86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Merge/>
          </w:tcPr>
          <w:p w14:paraId="20EE169F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3C3" w:rsidRPr="006E3647" w14:paraId="56E2A526" w14:textId="77777777" w:rsidTr="00A70656">
        <w:trPr>
          <w:cantSplit/>
          <w:trHeight w:val="303"/>
        </w:trPr>
        <w:tc>
          <w:tcPr>
            <w:tcW w:w="418" w:type="pct"/>
          </w:tcPr>
          <w:p w14:paraId="6FE297B3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III</w:t>
            </w:r>
          </w:p>
        </w:tc>
        <w:tc>
          <w:tcPr>
            <w:tcW w:w="793" w:type="pct"/>
            <w:tcBorders>
              <w:top w:val="nil"/>
            </w:tcBorders>
            <w:vAlign w:val="bottom"/>
          </w:tcPr>
          <w:p w14:paraId="62E297F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801 – 1000</w:t>
            </w:r>
          </w:p>
        </w:tc>
        <w:tc>
          <w:tcPr>
            <w:tcW w:w="929" w:type="pct"/>
          </w:tcPr>
          <w:p w14:paraId="29ED25AB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67%</w:t>
            </w:r>
          </w:p>
        </w:tc>
        <w:tc>
          <w:tcPr>
            <w:tcW w:w="730" w:type="pct"/>
          </w:tcPr>
          <w:p w14:paraId="09CACE6B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33%</w:t>
            </w:r>
          </w:p>
        </w:tc>
        <w:tc>
          <w:tcPr>
            <w:tcW w:w="1065" w:type="pct"/>
          </w:tcPr>
          <w:p w14:paraId="445D8250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Merge/>
          </w:tcPr>
          <w:p w14:paraId="525D0DA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3C3" w:rsidRPr="006E3647" w14:paraId="70D2FE27" w14:textId="77777777" w:rsidTr="00A70656">
        <w:trPr>
          <w:cantSplit/>
          <w:trHeight w:val="289"/>
        </w:trPr>
        <w:tc>
          <w:tcPr>
            <w:tcW w:w="418" w:type="pct"/>
          </w:tcPr>
          <w:p w14:paraId="4FE693F2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IV</w:t>
            </w:r>
          </w:p>
        </w:tc>
        <w:tc>
          <w:tcPr>
            <w:tcW w:w="793" w:type="pct"/>
            <w:tcBorders>
              <w:top w:val="nil"/>
            </w:tcBorders>
            <w:vAlign w:val="bottom"/>
          </w:tcPr>
          <w:p w14:paraId="5BC68F64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1001 – 1200</w:t>
            </w:r>
          </w:p>
        </w:tc>
        <w:tc>
          <w:tcPr>
            <w:tcW w:w="929" w:type="pct"/>
          </w:tcPr>
          <w:p w14:paraId="6B77DF6B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55%</w:t>
            </w:r>
          </w:p>
        </w:tc>
        <w:tc>
          <w:tcPr>
            <w:tcW w:w="730" w:type="pct"/>
          </w:tcPr>
          <w:p w14:paraId="70C301E1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45%</w:t>
            </w:r>
          </w:p>
        </w:tc>
        <w:tc>
          <w:tcPr>
            <w:tcW w:w="1065" w:type="pct"/>
          </w:tcPr>
          <w:p w14:paraId="042C183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Merge/>
          </w:tcPr>
          <w:p w14:paraId="2AAAAD9C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3C3" w:rsidRPr="006E3647" w14:paraId="20FF5DDE" w14:textId="77777777" w:rsidTr="00A70656">
        <w:trPr>
          <w:cantSplit/>
          <w:trHeight w:val="289"/>
        </w:trPr>
        <w:tc>
          <w:tcPr>
            <w:tcW w:w="418" w:type="pct"/>
          </w:tcPr>
          <w:p w14:paraId="696D1F1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V</w:t>
            </w:r>
          </w:p>
        </w:tc>
        <w:tc>
          <w:tcPr>
            <w:tcW w:w="793" w:type="pct"/>
            <w:tcBorders>
              <w:top w:val="nil"/>
            </w:tcBorders>
            <w:vAlign w:val="bottom"/>
          </w:tcPr>
          <w:p w14:paraId="1A4FB2F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1201 – 1400</w:t>
            </w:r>
          </w:p>
        </w:tc>
        <w:tc>
          <w:tcPr>
            <w:tcW w:w="929" w:type="pct"/>
          </w:tcPr>
          <w:p w14:paraId="7E918B3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43%</w:t>
            </w:r>
          </w:p>
        </w:tc>
        <w:tc>
          <w:tcPr>
            <w:tcW w:w="730" w:type="pct"/>
          </w:tcPr>
          <w:p w14:paraId="30979760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57%</w:t>
            </w:r>
          </w:p>
        </w:tc>
        <w:tc>
          <w:tcPr>
            <w:tcW w:w="1065" w:type="pct"/>
          </w:tcPr>
          <w:p w14:paraId="42970D3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Merge/>
          </w:tcPr>
          <w:p w14:paraId="37E32B42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3C3" w:rsidRPr="006E3647" w14:paraId="3C1069C6" w14:textId="77777777" w:rsidTr="00A70656">
        <w:trPr>
          <w:cantSplit/>
          <w:trHeight w:val="289"/>
        </w:trPr>
        <w:tc>
          <w:tcPr>
            <w:tcW w:w="418" w:type="pct"/>
          </w:tcPr>
          <w:p w14:paraId="7FC0CDC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VI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vAlign w:val="bottom"/>
          </w:tcPr>
          <w:p w14:paraId="22A38471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1401 – 1600</w:t>
            </w:r>
          </w:p>
        </w:tc>
        <w:tc>
          <w:tcPr>
            <w:tcW w:w="929" w:type="pct"/>
          </w:tcPr>
          <w:p w14:paraId="761CB69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30%</w:t>
            </w:r>
          </w:p>
        </w:tc>
        <w:tc>
          <w:tcPr>
            <w:tcW w:w="730" w:type="pct"/>
          </w:tcPr>
          <w:p w14:paraId="4695D35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70%</w:t>
            </w:r>
          </w:p>
        </w:tc>
        <w:tc>
          <w:tcPr>
            <w:tcW w:w="1065" w:type="pct"/>
          </w:tcPr>
          <w:p w14:paraId="7CDA713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Merge/>
          </w:tcPr>
          <w:p w14:paraId="63367AC3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73C3" w:rsidRPr="006E3647" w14:paraId="584334F7" w14:textId="77777777" w:rsidTr="00A70656">
        <w:trPr>
          <w:cantSplit/>
          <w:trHeight w:val="471"/>
        </w:trPr>
        <w:tc>
          <w:tcPr>
            <w:tcW w:w="418" w:type="pct"/>
            <w:vMerge w:val="restart"/>
            <w:vAlign w:val="center"/>
          </w:tcPr>
          <w:p w14:paraId="5CB6B016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647">
              <w:rPr>
                <w:b/>
                <w:color w:val="000000"/>
              </w:rPr>
              <w:t>VII</w:t>
            </w:r>
          </w:p>
          <w:p w14:paraId="678E300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vAlign w:val="center"/>
          </w:tcPr>
          <w:p w14:paraId="54D670C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powyżej 1600</w:t>
            </w:r>
          </w:p>
          <w:p w14:paraId="41B1B7D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9" w:type="pct"/>
            <w:vAlign w:val="center"/>
          </w:tcPr>
          <w:p w14:paraId="59E6B7BA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18%</w:t>
            </w:r>
          </w:p>
        </w:tc>
        <w:tc>
          <w:tcPr>
            <w:tcW w:w="730" w:type="pct"/>
            <w:vAlign w:val="center"/>
          </w:tcPr>
          <w:p w14:paraId="032347BF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82%</w:t>
            </w:r>
          </w:p>
        </w:tc>
        <w:tc>
          <w:tcPr>
            <w:tcW w:w="1065" w:type="pct"/>
            <w:vAlign w:val="center"/>
          </w:tcPr>
          <w:p w14:paraId="7B841072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</w:tcPr>
          <w:p w14:paraId="1477F01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 xml:space="preserve">do 85 528 </w:t>
            </w:r>
          </w:p>
        </w:tc>
      </w:tr>
      <w:tr w:rsidR="000273C3" w:rsidRPr="006E3647" w14:paraId="7630F984" w14:textId="77777777" w:rsidTr="00A70656">
        <w:trPr>
          <w:cantSplit/>
          <w:trHeight w:val="360"/>
        </w:trPr>
        <w:tc>
          <w:tcPr>
            <w:tcW w:w="418" w:type="pct"/>
            <w:vMerge/>
          </w:tcPr>
          <w:p w14:paraId="2553DCEC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3" w:type="pct"/>
            <w:vMerge/>
          </w:tcPr>
          <w:p w14:paraId="1D4F0082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9" w:type="pct"/>
            <w:vAlign w:val="center"/>
          </w:tcPr>
          <w:p w14:paraId="7AD34C98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15%</w:t>
            </w:r>
          </w:p>
        </w:tc>
        <w:tc>
          <w:tcPr>
            <w:tcW w:w="730" w:type="pct"/>
            <w:vAlign w:val="center"/>
          </w:tcPr>
          <w:p w14:paraId="172E6D77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85%</w:t>
            </w:r>
          </w:p>
        </w:tc>
        <w:tc>
          <w:tcPr>
            <w:tcW w:w="1065" w:type="pct"/>
            <w:vAlign w:val="center"/>
          </w:tcPr>
          <w:p w14:paraId="6B2A26A6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</w:tcPr>
          <w:p w14:paraId="4B19A5E4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 xml:space="preserve">od 85 529 </w:t>
            </w:r>
          </w:p>
          <w:p w14:paraId="31FDF1C6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125 528</w:t>
            </w:r>
          </w:p>
        </w:tc>
      </w:tr>
      <w:tr w:rsidR="000273C3" w:rsidRPr="006E3647" w14:paraId="19052264" w14:textId="77777777" w:rsidTr="00A70656">
        <w:trPr>
          <w:cantSplit/>
          <w:trHeight w:val="420"/>
        </w:trPr>
        <w:tc>
          <w:tcPr>
            <w:tcW w:w="418" w:type="pct"/>
            <w:vMerge/>
          </w:tcPr>
          <w:p w14:paraId="4FE12CD2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 w14:paraId="0C815579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9" w:type="pct"/>
            <w:vAlign w:val="center"/>
          </w:tcPr>
          <w:p w14:paraId="58B8CCFC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0%</w:t>
            </w:r>
          </w:p>
        </w:tc>
        <w:tc>
          <w:tcPr>
            <w:tcW w:w="730" w:type="pct"/>
            <w:vAlign w:val="center"/>
          </w:tcPr>
          <w:p w14:paraId="449CCB12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Align w:val="center"/>
          </w:tcPr>
          <w:p w14:paraId="4E273E1E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>do 100%</w:t>
            </w:r>
          </w:p>
        </w:tc>
        <w:tc>
          <w:tcPr>
            <w:tcW w:w="1065" w:type="pct"/>
            <w:vAlign w:val="center"/>
          </w:tcPr>
          <w:p w14:paraId="5286D0CD" w14:textId="77777777" w:rsidR="000273C3" w:rsidRPr="006E3647" w:rsidRDefault="000273C3" w:rsidP="00A70656">
            <w:pPr>
              <w:keepLines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3647">
              <w:rPr>
                <w:color w:val="000000"/>
              </w:rPr>
              <w:t xml:space="preserve">powyżej 125 528 </w:t>
            </w:r>
          </w:p>
        </w:tc>
      </w:tr>
    </w:tbl>
    <w:p w14:paraId="7505089A" w14:textId="77777777" w:rsidR="006E3647" w:rsidRDefault="006E3647" w:rsidP="00027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D27F793" w14:textId="77777777" w:rsidR="006E3647" w:rsidRPr="006E3647" w:rsidRDefault="006E3647" w:rsidP="00027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6E3647">
        <w:rPr>
          <w:rFonts w:cstheme="minorHAnsi"/>
          <w:b/>
        </w:rPr>
        <w:t>Program cieszy się dużym zainteresowaniem</w:t>
      </w:r>
    </w:p>
    <w:p w14:paraId="6151B783" w14:textId="77777777" w:rsidR="006E3647" w:rsidRDefault="006E3647" w:rsidP="00027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16FA1920" w14:textId="32984DA4" w:rsidR="000273C3" w:rsidRPr="006E3647" w:rsidRDefault="000273C3" w:rsidP="00027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E3647">
        <w:rPr>
          <w:rFonts w:cstheme="minorHAnsi"/>
        </w:rPr>
        <w:t xml:space="preserve">Wnioski o wsparcie należy składać w </w:t>
      </w:r>
      <w:r w:rsidRPr="006E3647">
        <w:rPr>
          <w:rFonts w:cstheme="minorHAnsi"/>
          <w:bCs/>
        </w:rPr>
        <w:t>Wojewódzkim Funduszu Ochrony Środowiska i Gospodarki Wodnej</w:t>
      </w:r>
      <w:r w:rsidRPr="006E3647">
        <w:rPr>
          <w:rFonts w:cstheme="minorHAnsi"/>
        </w:rPr>
        <w:t xml:space="preserve"> właściwym ze względu na lokalizację inwestycji. Program cieszy się dużym zainteresowaniem. Do końca grudnia 2018 r</w:t>
      </w:r>
      <w:r w:rsidR="006E3647">
        <w:rPr>
          <w:rFonts w:cstheme="minorHAnsi"/>
        </w:rPr>
        <w:t xml:space="preserve">. </w:t>
      </w:r>
      <w:r w:rsidRPr="006E3647">
        <w:rPr>
          <w:rFonts w:cstheme="minorHAnsi"/>
        </w:rPr>
        <w:t xml:space="preserve">w sumie w całym kraju wpłynęło ponad </w:t>
      </w:r>
      <w:r w:rsidRPr="006E3647">
        <w:rPr>
          <w:rFonts w:cstheme="minorHAnsi"/>
          <w:b/>
        </w:rPr>
        <w:t>25 tys.</w:t>
      </w:r>
      <w:r w:rsidRPr="006E3647">
        <w:rPr>
          <w:rFonts w:cstheme="minorHAnsi"/>
        </w:rPr>
        <w:t xml:space="preserve"> wniosków i jest ponad </w:t>
      </w:r>
      <w:r w:rsidRPr="006E3647">
        <w:rPr>
          <w:rFonts w:cstheme="minorHAnsi"/>
          <w:b/>
        </w:rPr>
        <w:t xml:space="preserve">100 tys. </w:t>
      </w:r>
      <w:r w:rsidRPr="006E3647">
        <w:rPr>
          <w:rFonts w:cstheme="minorHAnsi"/>
        </w:rPr>
        <w:t xml:space="preserve">założonych kont na portalu beneficjenta. Największe zainteresowanie </w:t>
      </w:r>
      <w:r w:rsidR="006E3647">
        <w:rPr>
          <w:rFonts w:cstheme="minorHAnsi"/>
        </w:rPr>
        <w:t>p</w:t>
      </w:r>
      <w:r w:rsidRPr="006E3647">
        <w:rPr>
          <w:rFonts w:cstheme="minorHAnsi"/>
        </w:rPr>
        <w:t>rogramem jest na Śląsku, gdzie wpł</w:t>
      </w:r>
      <w:r w:rsidR="006E3647">
        <w:rPr>
          <w:rFonts w:cstheme="minorHAnsi"/>
        </w:rPr>
        <w:t xml:space="preserve">ynęło </w:t>
      </w:r>
      <w:r w:rsidRPr="006E3647">
        <w:rPr>
          <w:rFonts w:cstheme="minorHAnsi"/>
        </w:rPr>
        <w:t xml:space="preserve">ponad </w:t>
      </w:r>
      <w:r w:rsidRPr="006E3647">
        <w:rPr>
          <w:rFonts w:cstheme="minorHAnsi"/>
          <w:b/>
        </w:rPr>
        <w:t>3,5 tys.</w:t>
      </w:r>
      <w:r w:rsidRPr="006E3647">
        <w:rPr>
          <w:rFonts w:cstheme="minorHAnsi"/>
        </w:rPr>
        <w:t xml:space="preserve"> wniosków </w:t>
      </w:r>
      <w:r w:rsidRPr="006E3647">
        <w:rPr>
          <w:rFonts w:eastAsiaTheme="minorEastAsia" w:cstheme="minorHAnsi"/>
          <w:bCs/>
          <w:kern w:val="24"/>
        </w:rPr>
        <w:t>i</w:t>
      </w:r>
      <w:r w:rsidRPr="006E3647">
        <w:rPr>
          <w:rFonts w:eastAsiaTheme="minorEastAsia" w:cstheme="minorHAnsi"/>
          <w:b/>
          <w:bCs/>
          <w:kern w:val="24"/>
        </w:rPr>
        <w:t xml:space="preserve"> </w:t>
      </w:r>
      <w:r w:rsidRPr="006E3647">
        <w:rPr>
          <w:rFonts w:eastAsiaTheme="minorEastAsia" w:cstheme="minorHAnsi"/>
          <w:bCs/>
          <w:kern w:val="24"/>
        </w:rPr>
        <w:t>na</w:t>
      </w:r>
      <w:r w:rsidRPr="006E3647">
        <w:rPr>
          <w:rFonts w:eastAsiaTheme="minorEastAsia" w:cstheme="minorHAnsi"/>
          <w:b/>
          <w:bCs/>
          <w:kern w:val="24"/>
        </w:rPr>
        <w:t xml:space="preserve"> </w:t>
      </w:r>
      <w:r w:rsidR="006E3647">
        <w:rPr>
          <w:rFonts w:cstheme="minorHAnsi"/>
        </w:rPr>
        <w:t xml:space="preserve">Mazowszu, gdzie odnotowano </w:t>
      </w:r>
      <w:r w:rsidRPr="006E3647">
        <w:rPr>
          <w:rFonts w:eastAsiaTheme="minorEastAsia" w:cstheme="minorHAnsi"/>
          <w:bCs/>
          <w:kern w:val="24"/>
        </w:rPr>
        <w:t xml:space="preserve">ponad </w:t>
      </w:r>
      <w:r w:rsidRPr="006E3647">
        <w:rPr>
          <w:rFonts w:eastAsiaTheme="minorEastAsia" w:cstheme="minorHAnsi"/>
          <w:b/>
          <w:bCs/>
          <w:kern w:val="24"/>
        </w:rPr>
        <w:t>2</w:t>
      </w:r>
      <w:r w:rsidR="006E3647">
        <w:rPr>
          <w:rFonts w:eastAsiaTheme="minorEastAsia" w:cstheme="minorHAnsi"/>
          <w:b/>
          <w:bCs/>
          <w:kern w:val="24"/>
        </w:rPr>
        <w:t xml:space="preserve">,3 </w:t>
      </w:r>
      <w:r w:rsidRPr="006E3647">
        <w:rPr>
          <w:rFonts w:eastAsiaTheme="minorEastAsia" w:cstheme="minorHAnsi"/>
          <w:b/>
          <w:bCs/>
          <w:kern w:val="24"/>
        </w:rPr>
        <w:t xml:space="preserve">tys. </w:t>
      </w:r>
      <w:r w:rsidRPr="006E3647">
        <w:rPr>
          <w:rFonts w:eastAsiaTheme="minorEastAsia" w:cstheme="minorHAnsi"/>
          <w:bCs/>
          <w:kern w:val="24"/>
        </w:rPr>
        <w:t>wniosków.</w:t>
      </w:r>
      <w:r w:rsidRPr="006E3647">
        <w:rPr>
          <w:rFonts w:eastAsiaTheme="minorEastAsia" w:cstheme="minorHAnsi"/>
          <w:b/>
          <w:bCs/>
          <w:color w:val="FF0000"/>
          <w:kern w:val="24"/>
        </w:rPr>
        <w:t xml:space="preserve"> </w:t>
      </w:r>
      <w:r w:rsidRPr="006E3647">
        <w:rPr>
          <w:rFonts w:cstheme="minorHAnsi"/>
        </w:rPr>
        <w:t xml:space="preserve">Obecnie podlegają one weryfikacji przez WFOŚiGW oraz trwa podpisywane umów z beneficjentami. Do tej pory podpisano ich ponad </w:t>
      </w:r>
      <w:r w:rsidRPr="006E3647">
        <w:rPr>
          <w:rFonts w:cstheme="minorHAnsi"/>
          <w:b/>
        </w:rPr>
        <w:t>100</w:t>
      </w:r>
      <w:r w:rsidR="006D5569">
        <w:rPr>
          <w:rFonts w:cstheme="minorHAnsi"/>
        </w:rPr>
        <w:t xml:space="preserve"> </w:t>
      </w:r>
      <w:r w:rsidR="006D5569" w:rsidRPr="006D5569">
        <w:rPr>
          <w:rFonts w:cstheme="minorHAnsi"/>
        </w:rPr>
        <w:t>na kwotę ponad 1 mln zł dofinansowania</w:t>
      </w:r>
      <w:r w:rsidR="006D5569">
        <w:rPr>
          <w:rFonts w:cstheme="minorHAnsi"/>
        </w:rPr>
        <w:t>.</w:t>
      </w:r>
      <w:bookmarkStart w:id="0" w:name="_GoBack"/>
      <w:bookmarkEnd w:id="0"/>
    </w:p>
    <w:p w14:paraId="13A28FC2" w14:textId="77777777" w:rsidR="007165C3" w:rsidRPr="006E3647" w:rsidRDefault="007165C3" w:rsidP="00896496">
      <w:pPr>
        <w:autoSpaceDE w:val="0"/>
        <w:autoSpaceDN w:val="0"/>
        <w:adjustRightInd w:val="0"/>
        <w:spacing w:after="0" w:line="240" w:lineRule="auto"/>
        <w:rPr>
          <w:rFonts w:cs="Dutch801EU-Normal"/>
        </w:rPr>
      </w:pPr>
    </w:p>
    <w:sectPr w:rsidR="007165C3" w:rsidRPr="006E3647" w:rsidSect="00887C7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4E287" w16cid:durableId="1FEAD9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2C69" w14:textId="77777777" w:rsidR="00C102AC" w:rsidRDefault="00C102AC" w:rsidP="005F2E49">
      <w:pPr>
        <w:spacing w:after="0" w:line="240" w:lineRule="auto"/>
      </w:pPr>
      <w:r>
        <w:separator/>
      </w:r>
    </w:p>
  </w:endnote>
  <w:endnote w:type="continuationSeparator" w:id="0">
    <w:p w14:paraId="5A374A9B" w14:textId="77777777" w:rsidR="00C102AC" w:rsidRDefault="00C102AC" w:rsidP="005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9346" w14:textId="77777777" w:rsidR="00C102AC" w:rsidRDefault="00C102AC" w:rsidP="005F2E49">
      <w:pPr>
        <w:spacing w:after="0" w:line="240" w:lineRule="auto"/>
      </w:pPr>
      <w:r>
        <w:separator/>
      </w:r>
    </w:p>
  </w:footnote>
  <w:footnote w:type="continuationSeparator" w:id="0">
    <w:p w14:paraId="178AF6F2" w14:textId="77777777" w:rsidR="00C102AC" w:rsidRDefault="00C102AC" w:rsidP="005F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7F10" w14:textId="77777777" w:rsidR="005F2E49" w:rsidRDefault="005F2E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A7E0A0" wp14:editId="41610C67">
          <wp:simplePos x="0" y="0"/>
          <wp:positionH relativeFrom="column">
            <wp:posOffset>3809365</wp:posOffset>
          </wp:positionH>
          <wp:positionV relativeFrom="paragraph">
            <wp:posOffset>80010</wp:posOffset>
          </wp:positionV>
          <wp:extent cx="1921510" cy="673735"/>
          <wp:effectExtent l="0" t="0" r="2540" b="0"/>
          <wp:wrapTight wrapText="bothSides">
            <wp:wrapPolygon edited="0">
              <wp:start x="0" y="0"/>
              <wp:lineTo x="0" y="20765"/>
              <wp:lineTo x="21414" y="20765"/>
              <wp:lineTo x="21414" y="0"/>
              <wp:lineTo x="0" y="0"/>
            </wp:wrapPolygon>
          </wp:wrapTight>
          <wp:docPr id="11" name="Obraz 11" descr="csm_logo_MS_3d9423ff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_logo_MS_3d9423ff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962">
      <w:rPr>
        <w:noProof/>
        <w:lang w:eastAsia="pl-PL"/>
      </w:rPr>
      <w:drawing>
        <wp:inline distT="0" distB="0" distL="0" distR="0" wp14:anchorId="4325A0B0" wp14:editId="15924E8A">
          <wp:extent cx="2076450" cy="1000125"/>
          <wp:effectExtent l="0" t="0" r="0" b="9525"/>
          <wp:docPr id="12" name="Obraz 12" descr="cid:image001.png@01D4A2A5.B981C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id:image001.png@01D4A2A5.B981C4A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90C"/>
    <w:multiLevelType w:val="hybridMultilevel"/>
    <w:tmpl w:val="B7A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819"/>
    <w:multiLevelType w:val="hybridMultilevel"/>
    <w:tmpl w:val="A2D2E490"/>
    <w:lvl w:ilvl="0" w:tplc="F1DE9B2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9CC4BA44">
      <w:start w:val="1"/>
      <w:numFmt w:val="upperRoman"/>
      <w:lvlText w:val="%2.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E7321072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0405E"/>
    <w:multiLevelType w:val="hybridMultilevel"/>
    <w:tmpl w:val="0DCC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1A3F"/>
    <w:multiLevelType w:val="hybridMultilevel"/>
    <w:tmpl w:val="D714C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116"/>
    <w:multiLevelType w:val="hybridMultilevel"/>
    <w:tmpl w:val="3768F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1FFB"/>
    <w:multiLevelType w:val="hybridMultilevel"/>
    <w:tmpl w:val="2A36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7903"/>
    <w:multiLevelType w:val="hybridMultilevel"/>
    <w:tmpl w:val="64E07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42E51"/>
    <w:multiLevelType w:val="hybridMultilevel"/>
    <w:tmpl w:val="618A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391"/>
    <w:multiLevelType w:val="hybridMultilevel"/>
    <w:tmpl w:val="3F5A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06"/>
    <w:rsid w:val="000151DE"/>
    <w:rsid w:val="000273C3"/>
    <w:rsid w:val="00034FBF"/>
    <w:rsid w:val="00075DC5"/>
    <w:rsid w:val="000E1E42"/>
    <w:rsid w:val="00117E97"/>
    <w:rsid w:val="00144932"/>
    <w:rsid w:val="001A4473"/>
    <w:rsid w:val="001F729B"/>
    <w:rsid w:val="002733D1"/>
    <w:rsid w:val="00346B45"/>
    <w:rsid w:val="00422BE1"/>
    <w:rsid w:val="00492A66"/>
    <w:rsid w:val="004B3A2D"/>
    <w:rsid w:val="004D1B0A"/>
    <w:rsid w:val="00503945"/>
    <w:rsid w:val="0052393A"/>
    <w:rsid w:val="00572990"/>
    <w:rsid w:val="0057683D"/>
    <w:rsid w:val="005A5799"/>
    <w:rsid w:val="005F2E49"/>
    <w:rsid w:val="0062044E"/>
    <w:rsid w:val="006D5569"/>
    <w:rsid w:val="006E3647"/>
    <w:rsid w:val="007165C3"/>
    <w:rsid w:val="007906AD"/>
    <w:rsid w:val="00805FB2"/>
    <w:rsid w:val="00827596"/>
    <w:rsid w:val="00882759"/>
    <w:rsid w:val="00887C7B"/>
    <w:rsid w:val="00896496"/>
    <w:rsid w:val="008B0422"/>
    <w:rsid w:val="008B297F"/>
    <w:rsid w:val="00970ECD"/>
    <w:rsid w:val="00AD63A5"/>
    <w:rsid w:val="00AF47BC"/>
    <w:rsid w:val="00B34633"/>
    <w:rsid w:val="00BF1A18"/>
    <w:rsid w:val="00C102AC"/>
    <w:rsid w:val="00C76CC1"/>
    <w:rsid w:val="00D27A79"/>
    <w:rsid w:val="00D30689"/>
    <w:rsid w:val="00D97D9E"/>
    <w:rsid w:val="00E31969"/>
    <w:rsid w:val="00ED00EE"/>
    <w:rsid w:val="00F23D8E"/>
    <w:rsid w:val="00F24306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E0257"/>
  <w15:chartTrackingRefBased/>
  <w15:docId w15:val="{BF4A5946-2ED3-4797-8720-1028830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243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82759"/>
  </w:style>
  <w:style w:type="character" w:styleId="Odwoaniedokomentarza">
    <w:name w:val="annotation reference"/>
    <w:basedOn w:val="Domylnaczcionkaakapitu"/>
    <w:uiPriority w:val="99"/>
    <w:semiHidden/>
    <w:unhideWhenUsed/>
    <w:rsid w:val="00572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9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29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49"/>
  </w:style>
  <w:style w:type="paragraph" w:styleId="Stopka">
    <w:name w:val="footer"/>
    <w:basedOn w:val="Normalny"/>
    <w:link w:val="StopkaZnak"/>
    <w:uiPriority w:val="99"/>
    <w:unhideWhenUsed/>
    <w:rsid w:val="005F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38EF-A64C-4D2A-8470-536376F8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5394</Characters>
  <Application>Microsoft Office Word</Application>
  <DocSecurity>0</DocSecurity>
  <Lines>245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Szmitkowska Patrycja</dc:creator>
  <cp:keywords/>
  <dc:description/>
  <cp:lastModifiedBy>Bieniecka-Popardowska Donata</cp:lastModifiedBy>
  <cp:revision>2</cp:revision>
  <cp:lastPrinted>2019-01-17T09:51:00Z</cp:lastPrinted>
  <dcterms:created xsi:type="dcterms:W3CDTF">2019-01-17T09:52:00Z</dcterms:created>
  <dcterms:modified xsi:type="dcterms:W3CDTF">2019-01-17T09:52:00Z</dcterms:modified>
</cp:coreProperties>
</file>